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989268" w14:textId="1E9056E3"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#116</w:t>
      </w:r>
      <w:r>
        <w:rPr>
          <w:lang w:val="pt-BR"/>
        </w:rPr>
        <w:t>bis-</w:t>
      </w:r>
      <w:r w:rsidRPr="001907DE">
        <w:rPr>
          <w:lang w:val="pt-BR"/>
        </w:rPr>
        <w:t>e</w:t>
      </w:r>
      <w:r w:rsidRPr="001907DE">
        <w:rPr>
          <w:lang w:val="pt-BR"/>
        </w:rPr>
        <w:tab/>
      </w:r>
      <w:r w:rsidR="002B697D" w:rsidRPr="002B697D">
        <w:rPr>
          <w:rFonts w:cs="Arial"/>
          <w:color w:val="312E25"/>
          <w:szCs w:val="24"/>
        </w:rPr>
        <w:t>R2-2200941</w:t>
      </w:r>
    </w:p>
    <w:p w14:paraId="563583F6" w14:textId="77777777" w:rsidR="005E1E05" w:rsidRPr="00CE0424" w:rsidRDefault="005E1E05" w:rsidP="005E1E05">
      <w:pPr>
        <w:pStyle w:val="3GPPHeader"/>
      </w:pPr>
      <w:r>
        <w:t xml:space="preserve">Electronical meeting, </w:t>
      </w:r>
      <w:r w:rsidRPr="002103F2">
        <w:t>17 – 25 January 2022</w:t>
      </w:r>
    </w:p>
    <w:p w14:paraId="603EB941" w14:textId="77777777" w:rsidR="00E5637E" w:rsidRDefault="00E5637E" w:rsidP="00F64C2B">
      <w:pPr>
        <w:pStyle w:val="3GPPHeader"/>
        <w:rPr>
          <w:sz w:val="22"/>
          <w:szCs w:val="22"/>
          <w:lang w:val="en-US"/>
        </w:rPr>
      </w:pPr>
    </w:p>
    <w:p w14:paraId="7F4474A6" w14:textId="2EDC9B4E"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6C19AB">
        <w:rPr>
          <w:sz w:val="22"/>
          <w:szCs w:val="22"/>
          <w:lang w:val="en-US"/>
        </w:rPr>
        <w:t>8.20.2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0EEFE2E4" w:rsidR="00E90E49" w:rsidRPr="00CE0424" w:rsidRDefault="003D3C45" w:rsidP="00311702">
      <w:pPr>
        <w:pStyle w:val="3GPPHeader"/>
        <w:rPr>
          <w:sz w:val="22"/>
          <w:szCs w:val="22"/>
        </w:rPr>
      </w:pPr>
      <w:r>
        <w:rPr>
          <w:sz w:val="22"/>
          <w:szCs w:val="22"/>
        </w:rPr>
        <w:t>Title:</w:t>
      </w:r>
      <w:r w:rsidR="00E90E49" w:rsidRPr="00CE0424">
        <w:rPr>
          <w:sz w:val="22"/>
          <w:szCs w:val="22"/>
        </w:rPr>
        <w:tab/>
      </w:r>
      <w:r w:rsidR="005E1E05">
        <w:rPr>
          <w:sz w:val="22"/>
          <w:szCs w:val="22"/>
        </w:rPr>
        <w:t xml:space="preserve">Remaining protocol </w:t>
      </w:r>
      <w:r w:rsidR="00053A04">
        <w:rPr>
          <w:sz w:val="22"/>
          <w:szCs w:val="22"/>
        </w:rPr>
        <w:t>aspects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CE0424">
        <w:rPr>
          <w:sz w:val="22"/>
          <w:szCs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70B1DF77" w14:textId="45B46785" w:rsidR="003509F5" w:rsidRDefault="00216006" w:rsidP="00080B91">
      <w:pPr>
        <w:jc w:val="both"/>
        <w:rPr>
          <w:rFonts w:ascii="Arial" w:hAnsi="Arial" w:cs="Arial"/>
          <w:bCs/>
          <w:sz w:val="20"/>
          <w:szCs w:val="20"/>
          <w:lang w:val="en-US"/>
        </w:rPr>
      </w:pPr>
      <w:r>
        <w:rPr>
          <w:rFonts w:ascii="Arial" w:hAnsi="Arial" w:cs="Arial"/>
          <w:bCs/>
          <w:sz w:val="20"/>
          <w:szCs w:val="20"/>
          <w:lang w:val="en-US"/>
        </w:rPr>
        <w:t>In the WID</w:t>
      </w:r>
      <w:r w:rsidRPr="00D74102">
        <w:rPr>
          <w:rFonts w:ascii="Arial" w:hAnsi="Arial" w:cs="Arial"/>
          <w:sz w:val="20"/>
          <w:szCs w:val="20"/>
          <w:lang w:val="en-US"/>
        </w:rPr>
        <w:t xml:space="preserve"> [</w:t>
      </w:r>
      <w:r>
        <w:rPr>
          <w:rFonts w:ascii="Arial" w:hAnsi="Arial" w:cs="Arial"/>
          <w:sz w:val="20"/>
          <w:szCs w:val="20"/>
          <w:lang w:val="en-US"/>
        </w:rPr>
        <w:t>1</w:t>
      </w:r>
      <w:r w:rsidRPr="00D74102">
        <w:rPr>
          <w:rFonts w:ascii="Arial" w:hAnsi="Arial" w:cs="Arial"/>
          <w:sz w:val="20"/>
          <w:szCs w:val="20"/>
          <w:lang w:val="en-US"/>
        </w:rPr>
        <w:t>]</w:t>
      </w:r>
      <w:r>
        <w:rPr>
          <w:rFonts w:ascii="Arial" w:hAnsi="Arial" w:cs="Arial"/>
          <w:sz w:val="20"/>
          <w:szCs w:val="20"/>
          <w:lang w:val="en-US"/>
        </w:rPr>
        <w:t xml:space="preserve">, it has been </w:t>
      </w:r>
      <w:r w:rsidRPr="00D74102">
        <w:rPr>
          <w:rFonts w:ascii="Arial" w:hAnsi="Arial" w:cs="Arial"/>
          <w:sz w:val="20"/>
          <w:szCs w:val="20"/>
          <w:lang w:val="en-US"/>
        </w:rPr>
        <w:t>approved</w:t>
      </w:r>
      <w:r w:rsidRPr="00D74102">
        <w:rPr>
          <w:rFonts w:ascii="Arial" w:hAnsi="Arial" w:cs="Arial"/>
          <w:bCs/>
          <w:sz w:val="20"/>
          <w:szCs w:val="20"/>
          <w:lang w:val="en-US"/>
        </w:rPr>
        <w:t xml:space="preserve"> to extend NR operation up to 71 GHz considering both licensed and unlicensed operation. </w:t>
      </w:r>
      <w:r w:rsidR="00C37A0A" w:rsidRPr="00C37A0A">
        <w:rPr>
          <w:rFonts w:ascii="Arial" w:hAnsi="Arial" w:cs="Arial"/>
          <w:bCs/>
          <w:sz w:val="20"/>
          <w:szCs w:val="20"/>
          <w:lang w:val="en-US"/>
        </w:rPr>
        <w:t xml:space="preserve">RAN#92 </w:t>
      </w:r>
      <w:r w:rsidR="00C37A0A">
        <w:rPr>
          <w:rFonts w:ascii="Arial" w:hAnsi="Arial" w:cs="Arial"/>
          <w:bCs/>
          <w:sz w:val="20"/>
          <w:szCs w:val="20"/>
          <w:lang w:val="en-US"/>
        </w:rPr>
        <w:t xml:space="preserve">agreed that </w:t>
      </w:r>
      <w:r w:rsidR="00C37A0A" w:rsidRPr="00C37A0A">
        <w:rPr>
          <w:rFonts w:ascii="Arial" w:hAnsi="Arial" w:cs="Arial"/>
          <w:bCs/>
          <w:sz w:val="20"/>
          <w:szCs w:val="20"/>
          <w:lang w:val="en-US"/>
        </w:rPr>
        <w:t xml:space="preserve">the frequency range 52.6 – 71 GHz </w:t>
      </w:r>
      <w:r w:rsidR="00C37A0A">
        <w:rPr>
          <w:rFonts w:ascii="Arial" w:hAnsi="Arial" w:cs="Arial"/>
          <w:bCs/>
          <w:sz w:val="20"/>
          <w:szCs w:val="20"/>
          <w:lang w:val="en-US"/>
        </w:rPr>
        <w:t xml:space="preserve">is part of FR2. If a distinction from the existing FR2 frequency range is needed, the </w:t>
      </w:r>
      <w:r w:rsidR="003509F5">
        <w:rPr>
          <w:rFonts w:ascii="Arial" w:hAnsi="Arial" w:cs="Arial"/>
          <w:bCs/>
          <w:sz w:val="20"/>
          <w:szCs w:val="20"/>
          <w:lang w:val="en-US"/>
        </w:rPr>
        <w:t>notion</w:t>
      </w:r>
      <w:r w:rsidR="0002534B">
        <w:rPr>
          <w:rFonts w:ascii="Arial" w:hAnsi="Arial" w:cs="Arial"/>
          <w:bCs/>
          <w:sz w:val="20"/>
          <w:szCs w:val="20"/>
          <w:lang w:val="en-US"/>
        </w:rPr>
        <w:t xml:space="preserve"> of</w:t>
      </w:r>
      <w:r w:rsidR="003509F5">
        <w:rPr>
          <w:rFonts w:ascii="Arial" w:hAnsi="Arial" w:cs="Arial"/>
          <w:bCs/>
          <w:sz w:val="20"/>
          <w:szCs w:val="20"/>
          <w:lang w:val="en-US"/>
        </w:rPr>
        <w:t xml:space="preserve"> “FR2-2” </w:t>
      </w:r>
      <w:r w:rsidR="00C37A0A">
        <w:rPr>
          <w:rFonts w:ascii="Arial" w:hAnsi="Arial" w:cs="Arial"/>
          <w:bCs/>
          <w:sz w:val="20"/>
          <w:szCs w:val="20"/>
          <w:lang w:val="en-US"/>
        </w:rPr>
        <w:t>should be used while the legacy range may be referred to as FR2-1</w:t>
      </w:r>
      <w:r w:rsidR="003509F5">
        <w:rPr>
          <w:rFonts w:ascii="Arial" w:hAnsi="Arial" w:cs="Arial"/>
          <w:bCs/>
          <w:sz w:val="20"/>
          <w:szCs w:val="20"/>
          <w:lang w:val="en-US"/>
        </w:rPr>
        <w:t>.</w:t>
      </w:r>
    </w:p>
    <w:p w14:paraId="254B1360" w14:textId="29AAD711" w:rsidR="00AF03BD" w:rsidRPr="00AF03BD" w:rsidRDefault="00E53328" w:rsidP="00AB04C7">
      <w:pPr>
        <w:rPr>
          <w:rFonts w:ascii="Arial" w:hAnsi="Arial" w:cs="Arial"/>
          <w:lang w:val="en-US"/>
        </w:rPr>
      </w:pPr>
      <w:r>
        <w:rPr>
          <w:rFonts w:ascii="Arial" w:hAnsi="Arial" w:cs="Arial"/>
          <w:bCs/>
          <w:sz w:val="20"/>
          <w:szCs w:val="20"/>
          <w:lang w:val="en-US"/>
        </w:rPr>
        <w:t xml:space="preserve">In </w:t>
      </w:r>
      <w:r w:rsidR="004D361F">
        <w:rPr>
          <w:rFonts w:ascii="Arial" w:hAnsi="Arial" w:cs="Arial"/>
          <w:bCs/>
          <w:sz w:val="20"/>
          <w:szCs w:val="20"/>
          <w:lang w:val="en-US"/>
        </w:rPr>
        <w:t>this paper</w:t>
      </w:r>
      <w:r>
        <w:rPr>
          <w:rFonts w:ascii="Arial" w:hAnsi="Arial" w:cs="Arial"/>
          <w:bCs/>
          <w:sz w:val="20"/>
          <w:szCs w:val="20"/>
          <w:lang w:val="en-US"/>
        </w:rPr>
        <w:t xml:space="preserve">, </w:t>
      </w:r>
      <w:r w:rsidR="00216006" w:rsidRPr="00D74102">
        <w:rPr>
          <w:rFonts w:ascii="Arial" w:hAnsi="Arial" w:cs="Arial"/>
          <w:bCs/>
          <w:sz w:val="20"/>
          <w:szCs w:val="20"/>
          <w:lang w:val="en-US"/>
        </w:rPr>
        <w:t xml:space="preserve">we discuss </w:t>
      </w:r>
      <w:r w:rsidR="00DF7E3D">
        <w:rPr>
          <w:rFonts w:ascii="Arial" w:hAnsi="Arial" w:cs="Arial"/>
          <w:bCs/>
          <w:sz w:val="20"/>
          <w:szCs w:val="20"/>
          <w:lang w:val="en-US"/>
        </w:rPr>
        <w:t xml:space="preserve">the </w:t>
      </w:r>
      <w:r w:rsidR="009D7C4B">
        <w:rPr>
          <w:rFonts w:ascii="Arial" w:hAnsi="Arial" w:cs="Arial"/>
          <w:bCs/>
          <w:sz w:val="20"/>
          <w:szCs w:val="20"/>
          <w:lang w:val="en-US"/>
        </w:rPr>
        <w:t xml:space="preserve">remaining protocol </w:t>
      </w:r>
      <w:r w:rsidR="00AA522F">
        <w:rPr>
          <w:rFonts w:ascii="Arial" w:hAnsi="Arial" w:cs="Arial"/>
          <w:bCs/>
          <w:sz w:val="20"/>
          <w:szCs w:val="20"/>
          <w:lang w:val="en-US"/>
        </w:rPr>
        <w:t xml:space="preserve">aspects </w:t>
      </w:r>
      <w:r w:rsidR="00D74102">
        <w:rPr>
          <w:rFonts w:ascii="Arial" w:hAnsi="Arial" w:cs="Arial"/>
          <w:bCs/>
          <w:sz w:val="20"/>
          <w:szCs w:val="20"/>
          <w:lang w:val="en-US"/>
        </w:rPr>
        <w:t>and express our views</w:t>
      </w:r>
      <w:r w:rsidR="00216006" w:rsidRPr="00D74102">
        <w:rPr>
          <w:rFonts w:ascii="Arial" w:hAnsi="Arial" w:cs="Arial"/>
          <w:bCs/>
          <w:sz w:val="20"/>
          <w:szCs w:val="20"/>
          <w:lang w:val="en-US"/>
        </w:rPr>
        <w:t>.</w:t>
      </w:r>
    </w:p>
    <w:p w14:paraId="5858C0D0" w14:textId="77777777" w:rsidR="004000E8" w:rsidRPr="00CE0424" w:rsidRDefault="00230D18" w:rsidP="00CE0424">
      <w:pPr>
        <w:pStyle w:val="Heading1"/>
      </w:pPr>
      <w:bookmarkStart w:id="2" w:name="_Ref178064866"/>
      <w:r>
        <w:t>2</w:t>
      </w:r>
      <w:r>
        <w:tab/>
      </w:r>
      <w:r w:rsidR="004000E8" w:rsidRPr="00CE0424">
        <w:t>Discussion</w:t>
      </w:r>
      <w:bookmarkEnd w:id="2"/>
    </w:p>
    <w:p w14:paraId="0D00E9A3" w14:textId="17338B46" w:rsidR="005E3A27" w:rsidRDefault="005E3A27" w:rsidP="005E3A27">
      <w:pPr>
        <w:pStyle w:val="Heading2"/>
        <w:rPr>
          <w:rFonts w:eastAsia="Times New Roman"/>
        </w:rPr>
      </w:pPr>
      <w:bookmarkStart w:id="3" w:name="_Toc67916997"/>
      <w:r>
        <w:rPr>
          <w:rFonts w:asciiTheme="minorEastAsia" w:eastAsiaTheme="minorEastAsia" w:hAnsiTheme="minorEastAsia" w:hint="eastAsia"/>
          <w:lang w:eastAsia="zh-CN"/>
        </w:rPr>
        <w:t>2.</w:t>
      </w:r>
      <w:r>
        <w:rPr>
          <w:rFonts w:asciiTheme="minorEastAsia" w:eastAsiaTheme="minorEastAsia" w:hAnsiTheme="minorEastAsia"/>
          <w:lang w:eastAsia="zh-CN"/>
        </w:rPr>
        <w:t>1</w:t>
      </w:r>
      <w:r>
        <w:rPr>
          <w:rFonts w:eastAsia="Times New Roman"/>
        </w:rPr>
        <w:t xml:space="preserve"> RLC feedback handling</w:t>
      </w:r>
    </w:p>
    <w:p w14:paraId="3638C446" w14:textId="594C987A" w:rsidR="000F6E7D" w:rsidRDefault="000F6E7D" w:rsidP="00AA6D0B">
      <w:pPr>
        <w:rPr>
          <w:rFonts w:ascii="Arial" w:hAnsi="Arial" w:cs="Arial"/>
          <w:sz w:val="20"/>
          <w:szCs w:val="20"/>
          <w:lang w:val="en-GB"/>
        </w:rPr>
      </w:pPr>
    </w:p>
    <w:p w14:paraId="6957866E" w14:textId="0F649BB8" w:rsidR="00CB0B37" w:rsidRPr="00AA6D0B" w:rsidRDefault="00026857" w:rsidP="00AA6D0B">
      <w:pPr>
        <w:rPr>
          <w:rFonts w:ascii="Arial" w:hAnsi="Arial" w:cs="Arial"/>
          <w:sz w:val="20"/>
          <w:szCs w:val="20"/>
          <w:lang w:val="en-US"/>
        </w:rPr>
      </w:pPr>
      <w:r>
        <w:rPr>
          <w:rFonts w:ascii="Arial" w:hAnsi="Arial" w:cs="Arial"/>
          <w:sz w:val="20"/>
          <w:szCs w:val="20"/>
          <w:lang w:val="en-US"/>
        </w:rPr>
        <w:t>A</w:t>
      </w:r>
      <w:r w:rsidR="00CB0B37" w:rsidRPr="00AA6D0B">
        <w:rPr>
          <w:rFonts w:ascii="Arial" w:hAnsi="Arial" w:cs="Arial"/>
          <w:sz w:val="20"/>
          <w:szCs w:val="20"/>
          <w:lang w:val="en-US"/>
        </w:rPr>
        <w:t xml:space="preserve">n </w:t>
      </w:r>
      <w:r w:rsidR="00662A19">
        <w:rPr>
          <w:rFonts w:ascii="Arial" w:hAnsi="Arial" w:cs="Arial"/>
          <w:sz w:val="20"/>
          <w:szCs w:val="20"/>
          <w:lang w:val="en-US"/>
        </w:rPr>
        <w:t>aspect</w:t>
      </w:r>
      <w:r w:rsidR="00662A19" w:rsidRPr="00AA6D0B">
        <w:rPr>
          <w:rFonts w:ascii="Arial" w:hAnsi="Arial" w:cs="Arial"/>
          <w:sz w:val="20"/>
          <w:szCs w:val="20"/>
          <w:lang w:val="en-US"/>
        </w:rPr>
        <w:t xml:space="preserve"> </w:t>
      </w:r>
      <w:r w:rsidR="00CB0B37" w:rsidRPr="00AA6D0B">
        <w:rPr>
          <w:rFonts w:ascii="Arial" w:hAnsi="Arial" w:cs="Arial"/>
          <w:sz w:val="20"/>
          <w:szCs w:val="20"/>
          <w:lang w:val="en-US"/>
        </w:rPr>
        <w:t>on RLC feedback handling is raised in [2] in case a UE operates CA between FR1 or FR2-1 and FR2-2</w:t>
      </w:r>
      <w:r w:rsidR="008D524E" w:rsidRPr="00AA6D0B">
        <w:rPr>
          <w:rFonts w:ascii="Arial" w:hAnsi="Arial" w:cs="Arial"/>
          <w:sz w:val="20"/>
          <w:szCs w:val="20"/>
          <w:lang w:val="en-US"/>
        </w:rPr>
        <w:t xml:space="preserve">. As stated in [2], </w:t>
      </w:r>
      <w:r w:rsidR="00573A0D">
        <w:rPr>
          <w:rFonts w:ascii="Arial" w:hAnsi="Arial" w:cs="Arial"/>
          <w:sz w:val="20"/>
          <w:szCs w:val="20"/>
          <w:lang w:val="en-US"/>
        </w:rPr>
        <w:t xml:space="preserve">per the </w:t>
      </w:r>
      <w:r w:rsidR="00573A0D" w:rsidRPr="00063568">
        <w:rPr>
          <w:rFonts w:ascii="Arial" w:hAnsi="Arial" w:cs="Arial"/>
          <w:sz w:val="20"/>
          <w:szCs w:val="20"/>
          <w:lang w:val="en-US"/>
        </w:rPr>
        <w:t>current design</w:t>
      </w:r>
      <w:r w:rsidR="00573A0D">
        <w:rPr>
          <w:rFonts w:ascii="Arial" w:hAnsi="Arial" w:cs="Arial"/>
          <w:sz w:val="20"/>
          <w:szCs w:val="20"/>
          <w:lang w:val="en-US"/>
        </w:rPr>
        <w:t>,</w:t>
      </w:r>
      <w:r w:rsidR="00573A0D" w:rsidRPr="00063568">
        <w:rPr>
          <w:rFonts w:ascii="Arial" w:hAnsi="Arial" w:cs="Arial"/>
          <w:sz w:val="20"/>
          <w:szCs w:val="20"/>
          <w:lang w:val="en-US"/>
        </w:rPr>
        <w:t xml:space="preserve"> RLC entity feedback operation is agnostic to the physical layer carrier configuration.</w:t>
      </w:r>
      <w:r w:rsidR="00573A0D">
        <w:rPr>
          <w:rFonts w:ascii="Arial" w:hAnsi="Arial" w:cs="Arial"/>
          <w:sz w:val="20"/>
          <w:szCs w:val="20"/>
          <w:lang w:val="en-US"/>
        </w:rPr>
        <w:t xml:space="preserve"> </w:t>
      </w:r>
      <w:r w:rsidR="00011B37">
        <w:rPr>
          <w:rFonts w:ascii="Arial" w:hAnsi="Arial" w:cs="Arial"/>
          <w:sz w:val="20"/>
          <w:szCs w:val="20"/>
          <w:lang w:val="en-US"/>
        </w:rPr>
        <w:t xml:space="preserve">If shorter RLC RTT values are adopted for 71 GHz, </w:t>
      </w:r>
      <w:r w:rsidR="008D524E" w:rsidRPr="00AA6D0B">
        <w:rPr>
          <w:rFonts w:ascii="Arial" w:hAnsi="Arial" w:cs="Arial"/>
          <w:sz w:val="20"/>
          <w:szCs w:val="20"/>
          <w:lang w:val="en-US"/>
        </w:rPr>
        <w:t>t</w:t>
      </w:r>
      <w:r w:rsidR="00CB0B37" w:rsidRPr="00AA6D0B">
        <w:rPr>
          <w:rFonts w:ascii="Arial" w:hAnsi="Arial" w:cs="Arial"/>
          <w:sz w:val="20"/>
          <w:szCs w:val="20"/>
          <w:lang w:val="en-US"/>
        </w:rPr>
        <w:t>he decrease in the RTT would also have to go hand-in-hand with the faster RLC control feedback messages, e</w:t>
      </w:r>
      <w:r w:rsidR="001A3FD0" w:rsidRPr="00AA6D0B">
        <w:rPr>
          <w:rFonts w:ascii="Arial" w:hAnsi="Arial" w:cs="Arial"/>
          <w:sz w:val="20"/>
          <w:szCs w:val="20"/>
          <w:lang w:val="en-US"/>
        </w:rPr>
        <w:t xml:space="preserve">. </w:t>
      </w:r>
      <w:r w:rsidR="00CB0B37" w:rsidRPr="00AA6D0B">
        <w:rPr>
          <w:rFonts w:ascii="Arial" w:hAnsi="Arial" w:cs="Arial"/>
          <w:sz w:val="20"/>
          <w:szCs w:val="20"/>
          <w:lang w:val="en-US"/>
        </w:rPr>
        <w:t>g., the ability of the receiver to provide the status feedback faster</w:t>
      </w:r>
      <w:r w:rsidR="001A730B" w:rsidRPr="00AA6D0B">
        <w:rPr>
          <w:rFonts w:ascii="Arial" w:hAnsi="Arial" w:cs="Arial"/>
          <w:sz w:val="20"/>
          <w:szCs w:val="20"/>
          <w:lang w:val="en-US"/>
        </w:rPr>
        <w:t xml:space="preserve"> and</w:t>
      </w:r>
      <w:r w:rsidR="001A3FD0" w:rsidRPr="00AA6D0B">
        <w:rPr>
          <w:rFonts w:ascii="Arial" w:hAnsi="Arial" w:cs="Arial"/>
          <w:sz w:val="20"/>
          <w:szCs w:val="20"/>
          <w:lang w:val="en-US"/>
        </w:rPr>
        <w:t xml:space="preserve"> </w:t>
      </w:r>
      <w:r w:rsidR="00CB0B37" w:rsidRPr="00AA6D0B">
        <w:rPr>
          <w:rFonts w:ascii="Arial" w:hAnsi="Arial" w:cs="Arial"/>
          <w:sz w:val="20"/>
          <w:szCs w:val="20"/>
          <w:lang w:val="en-US"/>
        </w:rPr>
        <w:t xml:space="preserve">the ability of the transmitter to trigger (re-trigger) for a poll faster etc., to keep the transmission window operation in RLC AM mode moving faster </w:t>
      </w:r>
      <w:r w:rsidR="001A730B" w:rsidRPr="00AA6D0B">
        <w:rPr>
          <w:rFonts w:ascii="Arial" w:hAnsi="Arial" w:cs="Arial"/>
          <w:sz w:val="20"/>
          <w:szCs w:val="20"/>
          <w:lang w:val="en-US"/>
        </w:rPr>
        <w:t>via</w:t>
      </w:r>
      <w:r w:rsidR="00CB0B37" w:rsidRPr="00AA6D0B">
        <w:rPr>
          <w:rFonts w:ascii="Arial" w:hAnsi="Arial" w:cs="Arial"/>
          <w:sz w:val="20"/>
          <w:szCs w:val="20"/>
          <w:lang w:val="en-US"/>
        </w:rPr>
        <w:t xml:space="preserve"> the increased data-rate operation.</w:t>
      </w:r>
      <w:r w:rsidR="003B2984" w:rsidRPr="00AA6D0B">
        <w:rPr>
          <w:rFonts w:ascii="Arial" w:hAnsi="Arial" w:cs="Arial"/>
          <w:sz w:val="20"/>
          <w:szCs w:val="20"/>
          <w:lang w:val="en-US"/>
        </w:rPr>
        <w:t xml:space="preserve"> </w:t>
      </w:r>
      <w:r w:rsidR="00011B37">
        <w:rPr>
          <w:rFonts w:ascii="Arial" w:hAnsi="Arial" w:cs="Arial"/>
          <w:sz w:val="20"/>
          <w:szCs w:val="20"/>
          <w:lang w:val="en-US"/>
        </w:rPr>
        <w:t xml:space="preserve">Different options to address the issue are also proposed in [2]. </w:t>
      </w:r>
    </w:p>
    <w:p w14:paraId="038DDAA0" w14:textId="77777777" w:rsidR="00F413E9" w:rsidRDefault="00011B37" w:rsidP="00C81900">
      <w:pPr>
        <w:rPr>
          <w:rFonts w:ascii="Arial" w:hAnsi="Arial" w:cs="Arial"/>
          <w:sz w:val="20"/>
          <w:szCs w:val="20"/>
          <w:lang w:val="en-US"/>
        </w:rPr>
      </w:pPr>
      <w:r>
        <w:rPr>
          <w:rFonts w:ascii="Arial" w:hAnsi="Arial" w:cs="Arial"/>
          <w:sz w:val="20"/>
          <w:szCs w:val="20"/>
          <w:lang w:val="en-US"/>
        </w:rPr>
        <w:t xml:space="preserve">However, for this aspect, </w:t>
      </w:r>
      <w:r w:rsidR="001B1247" w:rsidRPr="002F2D1D">
        <w:rPr>
          <w:rFonts w:ascii="Arial" w:hAnsi="Arial" w:cs="Arial"/>
          <w:sz w:val="20"/>
          <w:szCs w:val="20"/>
          <w:lang w:val="en-US"/>
        </w:rPr>
        <w:t xml:space="preserve">we don’t think it is relevant. </w:t>
      </w:r>
    </w:p>
    <w:p w14:paraId="6B6FBCF2" w14:textId="636B5C22" w:rsidR="00F413E9" w:rsidRDefault="001B1247" w:rsidP="00C81900">
      <w:pPr>
        <w:rPr>
          <w:rFonts w:ascii="Arial" w:hAnsi="Arial" w:cs="Arial"/>
          <w:sz w:val="20"/>
          <w:szCs w:val="20"/>
          <w:lang w:val="en-US"/>
        </w:rPr>
      </w:pPr>
      <w:r w:rsidRPr="002F2D1D">
        <w:rPr>
          <w:rFonts w:ascii="Arial" w:hAnsi="Arial" w:cs="Arial"/>
          <w:sz w:val="20"/>
          <w:szCs w:val="20"/>
          <w:lang w:val="en-US"/>
        </w:rPr>
        <w:t>In legacy releases, RLC configuration is set per logical channel (LCH</w:t>
      </w:r>
      <w:r w:rsidR="001B46A5">
        <w:rPr>
          <w:rFonts w:ascii="Arial" w:hAnsi="Arial" w:cs="Arial"/>
          <w:sz w:val="20"/>
          <w:szCs w:val="20"/>
          <w:lang w:val="en-US"/>
        </w:rPr>
        <w:t>)</w:t>
      </w:r>
      <w:r w:rsidRPr="002F2D1D">
        <w:rPr>
          <w:rFonts w:ascii="Arial" w:hAnsi="Arial" w:cs="Arial"/>
          <w:sz w:val="20"/>
          <w:szCs w:val="20"/>
          <w:lang w:val="en-US"/>
        </w:rPr>
        <w:t>. This provide</w:t>
      </w:r>
      <w:r w:rsidR="00EF1162">
        <w:rPr>
          <w:rFonts w:ascii="Arial" w:hAnsi="Arial" w:cs="Arial"/>
          <w:sz w:val="20"/>
          <w:szCs w:val="20"/>
          <w:lang w:val="en-US"/>
        </w:rPr>
        <w:t>s</w:t>
      </w:r>
      <w:r w:rsidRPr="002F2D1D">
        <w:rPr>
          <w:rFonts w:ascii="Arial" w:hAnsi="Arial" w:cs="Arial"/>
          <w:sz w:val="20"/>
          <w:szCs w:val="20"/>
          <w:lang w:val="en-US"/>
        </w:rPr>
        <w:t xml:space="preserve"> sufficient configuration granularity</w:t>
      </w:r>
      <w:r w:rsidR="001422E3">
        <w:rPr>
          <w:rFonts w:ascii="Arial" w:hAnsi="Arial" w:cs="Arial"/>
          <w:sz w:val="20"/>
          <w:szCs w:val="20"/>
          <w:lang w:val="en-US"/>
        </w:rPr>
        <w:t xml:space="preserve"> for RLC</w:t>
      </w:r>
      <w:r w:rsidRPr="002F2D1D">
        <w:rPr>
          <w:rFonts w:ascii="Arial" w:hAnsi="Arial" w:cs="Arial"/>
          <w:sz w:val="20"/>
          <w:szCs w:val="20"/>
          <w:lang w:val="en-US"/>
        </w:rPr>
        <w:t>.</w:t>
      </w:r>
    </w:p>
    <w:p w14:paraId="1417C8CF" w14:textId="77777777" w:rsidR="00F413E9" w:rsidRDefault="00F413E9" w:rsidP="00F413E9">
      <w:pPr>
        <w:rPr>
          <w:rFonts w:ascii="Arial" w:hAnsi="Arial" w:cs="Arial"/>
          <w:sz w:val="20"/>
          <w:szCs w:val="20"/>
          <w:lang w:val="en-US"/>
        </w:rPr>
      </w:pPr>
    </w:p>
    <w:p w14:paraId="6F7F5BA7" w14:textId="77777777" w:rsidR="00F413E9" w:rsidRPr="00F413E9" w:rsidRDefault="00F413E9" w:rsidP="00F413E9">
      <w:pPr>
        <w:pStyle w:val="Observation"/>
      </w:pPr>
      <w:bookmarkStart w:id="4" w:name="_Toc92797038"/>
      <w:r>
        <w:t xml:space="preserve">The </w:t>
      </w:r>
      <w:r w:rsidRPr="001B1247">
        <w:rPr>
          <w:rFonts w:cs="Arial"/>
        </w:rPr>
        <w:t>RLC configuration is per logical channel (LCH</w:t>
      </w:r>
      <w:r>
        <w:rPr>
          <w:rFonts w:cs="Arial"/>
        </w:rPr>
        <w:t>), which is already able to give sufficient configuration granularity for RLC.</w:t>
      </w:r>
      <w:bookmarkEnd w:id="4"/>
    </w:p>
    <w:p w14:paraId="1B99CF58" w14:textId="05CE892C" w:rsidR="00C81900" w:rsidRPr="000A1EE6" w:rsidRDefault="001B1247" w:rsidP="00C81900">
      <w:pPr>
        <w:rPr>
          <w:rFonts w:ascii="Arial" w:hAnsi="Arial" w:cs="Arial"/>
          <w:bCs/>
          <w:sz w:val="20"/>
          <w:szCs w:val="20"/>
          <w:lang w:val="en-US" w:eastAsia="ko-KR"/>
        </w:rPr>
      </w:pPr>
      <w:r w:rsidRPr="00013BFE">
        <w:rPr>
          <w:rFonts w:ascii="Arial" w:hAnsi="Arial" w:cs="Arial"/>
          <w:bCs/>
          <w:sz w:val="20"/>
          <w:szCs w:val="20"/>
          <w:lang w:val="en-US"/>
        </w:rPr>
        <w:t xml:space="preserve">In addition, </w:t>
      </w:r>
      <w:r w:rsidR="00C81900" w:rsidRPr="000A1EE6">
        <w:rPr>
          <w:rFonts w:ascii="Arial" w:hAnsi="Arial" w:cs="Arial"/>
          <w:bCs/>
          <w:sz w:val="20"/>
          <w:szCs w:val="20"/>
          <w:lang w:val="en-US"/>
        </w:rPr>
        <w:t>t</w:t>
      </w:r>
      <w:r w:rsidR="00C81900" w:rsidRPr="000A1EE6">
        <w:rPr>
          <w:rFonts w:ascii="Arial" w:hAnsi="Arial" w:cs="Arial"/>
          <w:bCs/>
          <w:sz w:val="20"/>
          <w:szCs w:val="20"/>
          <w:lang w:val="en-US" w:eastAsia="ko-KR"/>
        </w:rPr>
        <w:t xml:space="preserve">he Logical Channel Prioritization (LCP) procedure </w:t>
      </w:r>
      <w:r w:rsidR="00AD5CC2">
        <w:rPr>
          <w:rFonts w:ascii="Arial" w:hAnsi="Arial" w:cs="Arial"/>
          <w:bCs/>
          <w:sz w:val="20"/>
          <w:szCs w:val="20"/>
          <w:lang w:val="en-US" w:eastAsia="ko-KR"/>
        </w:rPr>
        <w:t xml:space="preserve">at UE </w:t>
      </w:r>
      <w:r w:rsidR="00436676" w:rsidRPr="00C931D0">
        <w:rPr>
          <w:rFonts w:ascii="Arial" w:hAnsi="Arial" w:cs="Arial"/>
          <w:sz w:val="20"/>
          <w:szCs w:val="20"/>
          <w:lang w:val="en-US" w:eastAsia="ko-KR"/>
        </w:rPr>
        <w:t>allows the</w:t>
      </w:r>
      <w:r w:rsidR="00C81900">
        <w:rPr>
          <w:rFonts w:ascii="Arial" w:hAnsi="Arial" w:cs="Arial"/>
          <w:bCs/>
          <w:sz w:val="20"/>
          <w:szCs w:val="20"/>
          <w:lang w:val="en-US" w:eastAsia="ko-KR"/>
        </w:rPr>
        <w:t xml:space="preserve"> map</w:t>
      </w:r>
      <w:r w:rsidR="00436676" w:rsidRPr="00C931D0">
        <w:rPr>
          <w:rFonts w:ascii="Arial" w:hAnsi="Arial" w:cs="Arial"/>
          <w:sz w:val="20"/>
          <w:szCs w:val="20"/>
          <w:lang w:val="en-US" w:eastAsia="ko-KR"/>
        </w:rPr>
        <w:t>ping of</w:t>
      </w:r>
      <w:r w:rsidR="00C81900">
        <w:rPr>
          <w:rFonts w:ascii="Arial" w:hAnsi="Arial" w:cs="Arial"/>
          <w:bCs/>
          <w:sz w:val="20"/>
          <w:szCs w:val="20"/>
          <w:lang w:val="en-US" w:eastAsia="ko-KR"/>
        </w:rPr>
        <w:t xml:space="preserve"> logical channels to different serving cells</w:t>
      </w:r>
      <w:r w:rsidR="004643AC">
        <w:rPr>
          <w:rFonts w:ascii="Arial" w:hAnsi="Arial" w:cs="Arial"/>
          <w:bCs/>
          <w:sz w:val="20"/>
          <w:szCs w:val="20"/>
          <w:lang w:val="en-US" w:eastAsia="ko-KR"/>
        </w:rPr>
        <w:t>.</w:t>
      </w:r>
      <w:r w:rsidR="00C81900">
        <w:rPr>
          <w:rFonts w:ascii="Arial" w:hAnsi="Arial" w:cs="Arial"/>
          <w:bCs/>
          <w:sz w:val="20"/>
          <w:szCs w:val="20"/>
          <w:lang w:val="en-US" w:eastAsia="ko-KR"/>
        </w:rPr>
        <w:t xml:space="preserve"> </w:t>
      </w:r>
      <w:r w:rsidR="004643AC">
        <w:rPr>
          <w:rFonts w:ascii="Arial" w:hAnsi="Arial" w:cs="Arial"/>
          <w:bCs/>
          <w:sz w:val="20"/>
          <w:szCs w:val="20"/>
          <w:lang w:val="en-US" w:eastAsia="ko-KR"/>
        </w:rPr>
        <w:t>With</w:t>
      </w:r>
      <w:r w:rsidR="00013BFE">
        <w:rPr>
          <w:rFonts w:ascii="Arial" w:hAnsi="Arial" w:cs="Arial"/>
          <w:bCs/>
          <w:sz w:val="20"/>
          <w:szCs w:val="20"/>
          <w:lang w:val="en-US" w:eastAsia="ko-KR"/>
        </w:rPr>
        <w:t xml:space="preserve"> at least the following existing mapping restriction</w:t>
      </w:r>
      <w:r w:rsidR="004643AC">
        <w:rPr>
          <w:rFonts w:ascii="Arial" w:hAnsi="Arial" w:cs="Arial"/>
          <w:bCs/>
          <w:sz w:val="20"/>
          <w:szCs w:val="20"/>
          <w:lang w:val="en-US" w:eastAsia="ko-KR"/>
        </w:rPr>
        <w:t xml:space="preserve">, it is possible to </w:t>
      </w:r>
      <w:r w:rsidR="004B7943">
        <w:rPr>
          <w:rFonts w:ascii="Arial" w:hAnsi="Arial" w:cs="Arial"/>
          <w:bCs/>
          <w:sz w:val="20"/>
          <w:szCs w:val="20"/>
          <w:lang w:val="en-US" w:eastAsia="ko-KR"/>
        </w:rPr>
        <w:t xml:space="preserve">provide differentiated treatment for </w:t>
      </w:r>
      <w:r w:rsidR="004643AC">
        <w:rPr>
          <w:rFonts w:ascii="Arial" w:hAnsi="Arial" w:cs="Arial"/>
          <w:bCs/>
          <w:sz w:val="20"/>
          <w:szCs w:val="20"/>
          <w:lang w:val="en-US" w:eastAsia="ko-KR"/>
        </w:rPr>
        <w:t>different service</w:t>
      </w:r>
      <w:r w:rsidR="004B7943">
        <w:rPr>
          <w:rFonts w:ascii="Arial" w:hAnsi="Arial" w:cs="Arial"/>
          <w:bCs/>
          <w:sz w:val="20"/>
          <w:szCs w:val="20"/>
          <w:lang w:val="en-US" w:eastAsia="ko-KR"/>
        </w:rPr>
        <w:t>s</w:t>
      </w:r>
      <w:r w:rsidR="004643AC">
        <w:rPr>
          <w:rFonts w:ascii="Arial" w:hAnsi="Arial" w:cs="Arial"/>
          <w:bCs/>
          <w:sz w:val="20"/>
          <w:szCs w:val="20"/>
          <w:lang w:val="en-US" w:eastAsia="ko-KR"/>
        </w:rPr>
        <w:t xml:space="preserve">: </w:t>
      </w:r>
    </w:p>
    <w:p w14:paraId="4D371013" w14:textId="55DB77B5" w:rsidR="00C81900" w:rsidRDefault="00C81900" w:rsidP="00F413E9">
      <w:pPr>
        <w:pStyle w:val="B1"/>
        <w:rPr>
          <w:rFonts w:ascii="Arial" w:hAnsi="Arial" w:cs="Arial"/>
          <w:bCs/>
          <w:lang w:eastAsia="ko-KR"/>
        </w:rPr>
      </w:pPr>
      <w:r w:rsidRPr="000A1EE6">
        <w:rPr>
          <w:rFonts w:ascii="Arial" w:hAnsi="Arial" w:cs="Arial"/>
          <w:bCs/>
          <w:lang w:eastAsia="ko-KR"/>
        </w:rPr>
        <w:t>-</w:t>
      </w:r>
      <w:r w:rsidRPr="000A1EE6">
        <w:rPr>
          <w:rFonts w:ascii="Arial" w:hAnsi="Arial" w:cs="Arial"/>
          <w:bCs/>
          <w:lang w:eastAsia="ko-KR"/>
        </w:rPr>
        <w:tab/>
      </w:r>
      <w:r w:rsidRPr="000A1EE6">
        <w:rPr>
          <w:rFonts w:ascii="Arial" w:hAnsi="Arial" w:cs="Arial"/>
          <w:bCs/>
          <w:i/>
          <w:lang w:eastAsia="ko-KR"/>
        </w:rPr>
        <w:t>allowedServingCells</w:t>
      </w:r>
      <w:r w:rsidRPr="000A1EE6">
        <w:rPr>
          <w:rFonts w:ascii="Arial" w:hAnsi="Arial" w:cs="Arial"/>
          <w:bCs/>
          <w:lang w:eastAsia="ko-KR"/>
        </w:rPr>
        <w:t xml:space="preserve"> which sets the allowed cell(s) for transmission;</w:t>
      </w:r>
      <w:r w:rsidRPr="000A1EE6">
        <w:rPr>
          <w:rFonts w:ascii="Arial" w:hAnsi="Arial" w:cs="Arial"/>
          <w:bCs/>
          <w:lang w:eastAsia="ko-KR"/>
        </w:rPr>
        <w:tab/>
      </w:r>
    </w:p>
    <w:p w14:paraId="30418F8A" w14:textId="21B68909" w:rsidR="00F413E9" w:rsidRDefault="009B640D" w:rsidP="00F413E9">
      <w:pPr>
        <w:rPr>
          <w:rFonts w:ascii="Arial" w:hAnsi="Arial" w:cs="Arial"/>
          <w:sz w:val="20"/>
          <w:szCs w:val="20"/>
          <w:lang w:val="en-US"/>
        </w:rPr>
      </w:pPr>
      <w:r>
        <w:rPr>
          <w:rFonts w:ascii="Arial" w:hAnsi="Arial" w:cs="Arial"/>
          <w:sz w:val="20"/>
          <w:szCs w:val="20"/>
          <w:lang w:val="en-US"/>
        </w:rPr>
        <w:t>T</w:t>
      </w:r>
      <w:r w:rsidR="007C3707">
        <w:rPr>
          <w:rFonts w:ascii="Arial" w:hAnsi="Arial" w:cs="Arial"/>
          <w:sz w:val="20"/>
          <w:szCs w:val="20"/>
          <w:lang w:val="en-US"/>
        </w:rPr>
        <w:t xml:space="preserve">he uplink </w:t>
      </w:r>
      <w:r w:rsidR="00740AB3" w:rsidRPr="00B23308">
        <w:rPr>
          <w:rFonts w:ascii="Arial" w:hAnsi="Arial" w:cs="Arial"/>
          <w:sz w:val="20"/>
          <w:szCs w:val="20"/>
          <w:lang w:val="en-US"/>
        </w:rPr>
        <w:t xml:space="preserve">logical channels carrying data with different service requirements can be mapped to different serving cells. Thus, </w:t>
      </w:r>
      <w:r w:rsidR="00013BFE" w:rsidRPr="000A1EE6">
        <w:rPr>
          <w:rFonts w:ascii="Arial" w:hAnsi="Arial" w:cs="Arial"/>
          <w:sz w:val="20"/>
          <w:szCs w:val="20"/>
          <w:lang w:val="en-US"/>
        </w:rPr>
        <w:t>it i</w:t>
      </w:r>
      <w:r w:rsidR="00013BFE">
        <w:rPr>
          <w:rFonts w:ascii="Arial" w:hAnsi="Arial" w:cs="Arial"/>
          <w:sz w:val="20"/>
          <w:szCs w:val="20"/>
          <w:lang w:val="en-US"/>
        </w:rPr>
        <w:t>s already feasible to map delay critical service</w:t>
      </w:r>
      <w:r w:rsidR="00740AB3" w:rsidRPr="00B23308">
        <w:rPr>
          <w:rFonts w:ascii="Arial" w:hAnsi="Arial" w:cs="Arial"/>
          <w:sz w:val="20"/>
          <w:szCs w:val="20"/>
          <w:lang w:val="en-US"/>
        </w:rPr>
        <w:t>s</w:t>
      </w:r>
      <w:r w:rsidR="00013BFE">
        <w:rPr>
          <w:rFonts w:ascii="Arial" w:hAnsi="Arial" w:cs="Arial"/>
          <w:sz w:val="20"/>
          <w:szCs w:val="20"/>
          <w:lang w:val="en-US"/>
        </w:rPr>
        <w:t xml:space="preserve"> to a serving cell in </w:t>
      </w:r>
      <w:r w:rsidR="00063568">
        <w:rPr>
          <w:rFonts w:ascii="Arial" w:hAnsi="Arial" w:cs="Arial"/>
          <w:sz w:val="20"/>
          <w:szCs w:val="20"/>
          <w:lang w:val="en-US"/>
        </w:rPr>
        <w:t>71 GHz</w:t>
      </w:r>
      <w:r w:rsidR="00013BFE">
        <w:rPr>
          <w:rFonts w:ascii="Arial" w:hAnsi="Arial" w:cs="Arial"/>
          <w:sz w:val="20"/>
          <w:szCs w:val="20"/>
          <w:lang w:val="en-US"/>
        </w:rPr>
        <w:t xml:space="preserve">, meanwhile, to map a </w:t>
      </w:r>
      <w:r w:rsidR="00063568">
        <w:rPr>
          <w:rFonts w:ascii="Arial" w:hAnsi="Arial" w:cs="Arial"/>
          <w:sz w:val="20"/>
          <w:szCs w:val="20"/>
          <w:lang w:val="en-US"/>
        </w:rPr>
        <w:t>non-delay</w:t>
      </w:r>
      <w:r w:rsidR="00013BFE">
        <w:rPr>
          <w:rFonts w:ascii="Arial" w:hAnsi="Arial" w:cs="Arial"/>
          <w:sz w:val="20"/>
          <w:szCs w:val="20"/>
          <w:lang w:val="en-US"/>
        </w:rPr>
        <w:t xml:space="preserve"> critical service to another serving cell in </w:t>
      </w:r>
      <w:r w:rsidR="00063568">
        <w:rPr>
          <w:rFonts w:ascii="Arial" w:hAnsi="Arial" w:cs="Arial"/>
          <w:sz w:val="20"/>
          <w:szCs w:val="20"/>
          <w:lang w:val="en-US"/>
        </w:rPr>
        <w:t xml:space="preserve">lower frequency regions (e.g. </w:t>
      </w:r>
      <w:r w:rsidR="00013BFE">
        <w:rPr>
          <w:rFonts w:ascii="Arial" w:hAnsi="Arial" w:cs="Arial"/>
          <w:sz w:val="20"/>
          <w:szCs w:val="20"/>
          <w:lang w:val="en-US"/>
        </w:rPr>
        <w:t>FR1 or FR2-1</w:t>
      </w:r>
      <w:r w:rsidR="00063568">
        <w:rPr>
          <w:rFonts w:ascii="Arial" w:hAnsi="Arial" w:cs="Arial"/>
          <w:sz w:val="20"/>
          <w:szCs w:val="20"/>
          <w:lang w:val="en-US"/>
        </w:rPr>
        <w:t>)</w:t>
      </w:r>
      <w:r w:rsidR="00013BFE">
        <w:rPr>
          <w:rFonts w:ascii="Arial" w:hAnsi="Arial" w:cs="Arial"/>
          <w:sz w:val="20"/>
          <w:szCs w:val="20"/>
          <w:lang w:val="en-US"/>
        </w:rPr>
        <w:t xml:space="preserve">. </w:t>
      </w:r>
      <w:r w:rsidR="00F413E9">
        <w:rPr>
          <w:rFonts w:ascii="Arial" w:hAnsi="Arial" w:cs="Arial"/>
          <w:sz w:val="20"/>
          <w:szCs w:val="20"/>
          <w:lang w:val="en-US"/>
        </w:rPr>
        <w:t xml:space="preserve">Similarly, </w:t>
      </w:r>
      <w:r w:rsidR="00787524">
        <w:rPr>
          <w:rFonts w:ascii="Arial" w:hAnsi="Arial" w:cs="Arial"/>
          <w:sz w:val="20"/>
          <w:szCs w:val="20"/>
          <w:lang w:val="en-US"/>
        </w:rPr>
        <w:t xml:space="preserve">for each downlink logical channel, </w:t>
      </w:r>
      <w:r w:rsidR="00F413E9">
        <w:rPr>
          <w:rFonts w:ascii="Arial" w:hAnsi="Arial" w:cs="Arial"/>
          <w:sz w:val="20"/>
          <w:szCs w:val="20"/>
          <w:lang w:val="en-US"/>
        </w:rPr>
        <w:t>the gNB</w:t>
      </w:r>
      <w:r w:rsidR="00816CBB">
        <w:rPr>
          <w:rFonts w:ascii="Arial" w:hAnsi="Arial" w:cs="Arial"/>
          <w:sz w:val="20"/>
          <w:szCs w:val="20"/>
          <w:lang w:val="en-US"/>
        </w:rPr>
        <w:t xml:space="preserve"> can determine </w:t>
      </w:r>
      <w:r w:rsidR="007F0F20">
        <w:rPr>
          <w:rFonts w:ascii="Arial" w:hAnsi="Arial" w:cs="Arial"/>
          <w:sz w:val="20"/>
          <w:szCs w:val="20"/>
          <w:lang w:val="en-US"/>
        </w:rPr>
        <w:t xml:space="preserve">the </w:t>
      </w:r>
      <w:r w:rsidR="00816CBB">
        <w:rPr>
          <w:rFonts w:ascii="Arial" w:hAnsi="Arial" w:cs="Arial"/>
          <w:sz w:val="20"/>
          <w:szCs w:val="20"/>
          <w:lang w:val="en-US"/>
        </w:rPr>
        <w:t xml:space="preserve">serving cell via which </w:t>
      </w:r>
      <w:r w:rsidR="00787524">
        <w:rPr>
          <w:rFonts w:ascii="Arial" w:hAnsi="Arial" w:cs="Arial"/>
          <w:sz w:val="20"/>
          <w:szCs w:val="20"/>
          <w:lang w:val="en-US"/>
        </w:rPr>
        <w:t xml:space="preserve">the logical channel can </w:t>
      </w:r>
      <w:r w:rsidR="00816CBB">
        <w:rPr>
          <w:rFonts w:ascii="Arial" w:hAnsi="Arial" w:cs="Arial"/>
          <w:sz w:val="20"/>
          <w:szCs w:val="20"/>
          <w:lang w:val="en-US"/>
        </w:rPr>
        <w:t>be transmitted to the UE</w:t>
      </w:r>
      <w:r w:rsidR="00F413E9">
        <w:rPr>
          <w:rFonts w:ascii="Arial" w:hAnsi="Arial" w:cs="Arial"/>
          <w:sz w:val="20"/>
          <w:szCs w:val="20"/>
          <w:lang w:val="en-US"/>
        </w:rPr>
        <w:t>.</w:t>
      </w:r>
      <w:r w:rsidR="000F3A6D">
        <w:rPr>
          <w:rFonts w:ascii="Arial" w:hAnsi="Arial" w:cs="Arial"/>
          <w:sz w:val="20"/>
          <w:szCs w:val="20"/>
          <w:lang w:val="en-US"/>
        </w:rPr>
        <w:t xml:space="preserve"> In this way, different downlink logical channels towards the same UE can be mapped to different serving cells.</w:t>
      </w:r>
    </w:p>
    <w:p w14:paraId="580CCCB0" w14:textId="070A0D7D" w:rsidR="008C48FE" w:rsidRPr="00E75B11" w:rsidRDefault="008C48FE" w:rsidP="008C48FE">
      <w:pPr>
        <w:pStyle w:val="Observation"/>
      </w:pPr>
      <w:bookmarkStart w:id="5" w:name="_Toc92797039"/>
      <w:r>
        <w:t>The existing LCP procedure</w:t>
      </w:r>
      <w:r w:rsidR="0012201A">
        <w:t xml:space="preserve"> at UE</w:t>
      </w:r>
      <w:r>
        <w:t xml:space="preserve"> already </w:t>
      </w:r>
      <w:r w:rsidR="0007283F">
        <w:t>provides a</w:t>
      </w:r>
      <w:r>
        <w:t xml:space="preserve"> feasible </w:t>
      </w:r>
      <w:r w:rsidR="0007283F">
        <w:t>procedure</w:t>
      </w:r>
      <w:r w:rsidR="00A6097E">
        <w:t xml:space="preserve"> </w:t>
      </w:r>
      <w:r w:rsidR="0007283F">
        <w:t>for</w:t>
      </w:r>
      <w:r>
        <w:t xml:space="preserve"> </w:t>
      </w:r>
      <w:r w:rsidR="00A6097E">
        <w:t>mapping</w:t>
      </w:r>
      <w:r>
        <w:t xml:space="preserve"> </w:t>
      </w:r>
      <w:r w:rsidR="0012201A">
        <w:t xml:space="preserve">uplink </w:t>
      </w:r>
      <w:r>
        <w:t>services/LCHs to different serving cells</w:t>
      </w:r>
      <w:r w:rsidRPr="001B1247">
        <w:rPr>
          <w:rFonts w:cs="Arial"/>
        </w:rPr>
        <w:t>.</w:t>
      </w:r>
      <w:bookmarkEnd w:id="5"/>
    </w:p>
    <w:p w14:paraId="059A939E" w14:textId="60B11C12" w:rsidR="00595686" w:rsidRPr="001B1247" w:rsidRDefault="000F3A6D" w:rsidP="00595686">
      <w:pPr>
        <w:pStyle w:val="Observation"/>
      </w:pPr>
      <w:bookmarkStart w:id="6" w:name="_Toc92797040"/>
      <w:r>
        <w:rPr>
          <w:rFonts w:cs="Arial"/>
        </w:rPr>
        <w:t>It is up to gNB implementation to map different downlink LCHs towards the same UE to different serving cells</w:t>
      </w:r>
      <w:r w:rsidR="00595686">
        <w:rPr>
          <w:rFonts w:cs="Arial"/>
        </w:rPr>
        <w:t>.</w:t>
      </w:r>
      <w:bookmarkEnd w:id="6"/>
      <w:r w:rsidR="00595686">
        <w:rPr>
          <w:rFonts w:cs="Arial"/>
        </w:rPr>
        <w:t xml:space="preserve"> </w:t>
      </w:r>
    </w:p>
    <w:p w14:paraId="53049D7D" w14:textId="18272851" w:rsidR="00511E07" w:rsidRDefault="00013BFE" w:rsidP="000A1EE6">
      <w:pPr>
        <w:rPr>
          <w:rFonts w:ascii="Arial" w:hAnsi="Arial" w:cs="Arial"/>
          <w:sz w:val="20"/>
          <w:szCs w:val="20"/>
          <w:lang w:val="en-US"/>
        </w:rPr>
      </w:pPr>
      <w:r>
        <w:rPr>
          <w:rFonts w:ascii="Arial" w:hAnsi="Arial" w:cs="Arial"/>
          <w:sz w:val="20"/>
          <w:szCs w:val="20"/>
          <w:lang w:val="en-US"/>
        </w:rPr>
        <w:lastRenderedPageBreak/>
        <w:t xml:space="preserve">All in all, </w:t>
      </w:r>
      <w:r w:rsidR="00550B79">
        <w:rPr>
          <w:rFonts w:ascii="Arial" w:hAnsi="Arial" w:cs="Arial"/>
          <w:sz w:val="20"/>
          <w:szCs w:val="20"/>
          <w:lang w:val="en-US"/>
        </w:rPr>
        <w:t>the gNB can provide proper RLC configurations for both directions (uplink and downlink) to be aligned with the properties or radio conditions of each serving cell</w:t>
      </w:r>
      <w:r>
        <w:rPr>
          <w:rFonts w:ascii="Arial" w:hAnsi="Arial" w:cs="Arial"/>
          <w:sz w:val="20"/>
          <w:szCs w:val="20"/>
          <w:lang w:val="en-US"/>
        </w:rPr>
        <w:t xml:space="preserve">. </w:t>
      </w:r>
    </w:p>
    <w:p w14:paraId="6BB69A2D" w14:textId="48F937E0" w:rsidR="005A55AA" w:rsidRPr="001B1247" w:rsidRDefault="005A55AA" w:rsidP="005A55AA">
      <w:pPr>
        <w:pStyle w:val="Observation"/>
      </w:pPr>
      <w:bookmarkStart w:id="7" w:name="_Toc92797041"/>
      <w:r>
        <w:rPr>
          <w:rFonts w:cs="Arial"/>
        </w:rPr>
        <w:t xml:space="preserve">The parameters and timers in the RLC configuration of each logical channel can be chosen </w:t>
      </w:r>
      <w:r w:rsidR="00333923">
        <w:rPr>
          <w:rFonts w:cs="Arial"/>
        </w:rPr>
        <w:t xml:space="preserve">by the gNB </w:t>
      </w:r>
      <w:r>
        <w:rPr>
          <w:rFonts w:cs="Arial"/>
        </w:rPr>
        <w:t>to fit the properties of its underlying serving cell.</w:t>
      </w:r>
      <w:bookmarkEnd w:id="7"/>
      <w:r>
        <w:rPr>
          <w:rFonts w:cs="Arial"/>
        </w:rPr>
        <w:t xml:space="preserve"> </w:t>
      </w:r>
    </w:p>
    <w:p w14:paraId="3AEF4A30" w14:textId="786197AC" w:rsidR="00013BFE" w:rsidRDefault="00013BFE" w:rsidP="000A1EE6">
      <w:pPr>
        <w:rPr>
          <w:rFonts w:ascii="Arial" w:hAnsi="Arial" w:cs="Arial"/>
          <w:sz w:val="20"/>
          <w:szCs w:val="20"/>
          <w:lang w:val="en-US"/>
        </w:rPr>
      </w:pPr>
      <w:r>
        <w:rPr>
          <w:rFonts w:ascii="Arial" w:hAnsi="Arial" w:cs="Arial"/>
          <w:sz w:val="20"/>
          <w:szCs w:val="20"/>
          <w:lang w:val="en-US"/>
        </w:rPr>
        <w:t>Therefore, we would like to make the following proposal</w:t>
      </w:r>
    </w:p>
    <w:p w14:paraId="7F107433" w14:textId="77777777" w:rsidR="002D665B" w:rsidRPr="002D665B" w:rsidRDefault="002D665B" w:rsidP="000A1EE6">
      <w:pPr>
        <w:rPr>
          <w:rFonts w:ascii="Arial" w:hAnsi="Arial" w:cs="Arial"/>
          <w:sz w:val="20"/>
          <w:szCs w:val="20"/>
          <w:lang w:val="en-GB"/>
        </w:rPr>
      </w:pPr>
    </w:p>
    <w:p w14:paraId="35AAF3BA" w14:textId="40BDE4F8" w:rsidR="00A14210" w:rsidRDefault="004B6D71" w:rsidP="00A14210">
      <w:pPr>
        <w:pStyle w:val="Proposal"/>
      </w:pPr>
      <w:bookmarkStart w:id="8" w:name="_Toc92797045"/>
      <w:bookmarkEnd w:id="3"/>
      <w:r>
        <w:t xml:space="preserve">For </w:t>
      </w:r>
      <w:r w:rsidR="0010270A">
        <w:t>CA operation</w:t>
      </w:r>
      <w:r>
        <w:t xml:space="preserve"> in 71 GHz </w:t>
      </w:r>
      <w:r w:rsidRPr="00B23308">
        <w:t xml:space="preserve">using higher </w:t>
      </w:r>
      <w:r>
        <w:t xml:space="preserve">SCS (i.e., 480 </w:t>
      </w:r>
      <w:r w:rsidR="00BE26CF">
        <w:t>kHz</w:t>
      </w:r>
      <w:r>
        <w:t xml:space="preserve"> and 960 </w:t>
      </w:r>
      <w:r w:rsidR="00BE26CF">
        <w:t>kHz</w:t>
      </w:r>
      <w:r>
        <w:t>)</w:t>
      </w:r>
      <w:r w:rsidR="0010270A">
        <w:t>, n</w:t>
      </w:r>
      <w:r w:rsidR="00013BFE" w:rsidRPr="00B23308">
        <w:t xml:space="preserve">o spec impact is foreseen for </w:t>
      </w:r>
      <w:r w:rsidR="00F434AA" w:rsidRPr="00B23308">
        <w:t xml:space="preserve">handling </w:t>
      </w:r>
      <w:r w:rsidR="004F217B">
        <w:t>RLC feedback</w:t>
      </w:r>
      <w:r w:rsidR="00A14210" w:rsidRPr="0013140C">
        <w:t>.</w:t>
      </w:r>
      <w:bookmarkEnd w:id="8"/>
    </w:p>
    <w:p w14:paraId="3DE8F2EC" w14:textId="5C456924" w:rsidR="003D28CF" w:rsidRDefault="003D28CF" w:rsidP="003D28CF">
      <w:pPr>
        <w:pStyle w:val="Heading2"/>
        <w:rPr>
          <w:rFonts w:eastAsia="Times New Roman"/>
        </w:rPr>
      </w:pPr>
      <w:r>
        <w:rPr>
          <w:rFonts w:asciiTheme="minorEastAsia" w:eastAsiaTheme="minorEastAsia" w:hAnsiTheme="minorEastAsia" w:hint="eastAsia"/>
          <w:lang w:eastAsia="zh-CN"/>
        </w:rPr>
        <w:t>2.</w:t>
      </w:r>
      <w:r w:rsidR="005E3A27">
        <w:rPr>
          <w:rFonts w:asciiTheme="minorEastAsia" w:eastAsiaTheme="minorEastAsia" w:hAnsiTheme="minorEastAsia"/>
          <w:lang w:eastAsia="zh-CN"/>
        </w:rPr>
        <w:t>2</w:t>
      </w:r>
      <w:r>
        <w:rPr>
          <w:rFonts w:eastAsia="Times New Roman"/>
        </w:rPr>
        <w:t xml:space="preserve"> </w:t>
      </w:r>
      <w:r w:rsidR="00F95EA8">
        <w:rPr>
          <w:rFonts w:eastAsia="Times New Roman"/>
        </w:rPr>
        <w:t>L2 buffer</w:t>
      </w:r>
    </w:p>
    <w:p w14:paraId="55A8B545" w14:textId="0C4B5F33" w:rsidR="00253853" w:rsidRPr="00C65B46" w:rsidRDefault="0052044F" w:rsidP="00253853">
      <w:pPr>
        <w:rPr>
          <w:rFonts w:ascii="Arial" w:hAnsi="Arial" w:cs="Arial"/>
          <w:sz w:val="20"/>
          <w:szCs w:val="20"/>
          <w:lang w:val="en-GB" w:eastAsia="ja-JP"/>
        </w:rPr>
      </w:pPr>
      <w:r>
        <w:rPr>
          <w:rFonts w:ascii="Arial" w:hAnsi="Arial" w:cs="Arial"/>
          <w:sz w:val="20"/>
          <w:szCs w:val="20"/>
          <w:lang w:val="en-GB" w:eastAsia="ja-JP"/>
        </w:rPr>
        <w:t xml:space="preserve">Regarding L2 buffer size, as shown in the below, </w:t>
      </w:r>
      <w:r w:rsidRPr="00C65B46">
        <w:rPr>
          <w:rFonts w:ascii="Arial" w:hAnsi="Arial" w:cs="Arial"/>
          <w:sz w:val="20"/>
          <w:szCs w:val="20"/>
          <w:lang w:val="en-GB" w:eastAsia="ja-JP"/>
        </w:rPr>
        <w:t xml:space="preserve">RAN2 </w:t>
      </w:r>
      <w:r>
        <w:rPr>
          <w:rFonts w:ascii="Arial" w:hAnsi="Arial" w:cs="Arial"/>
          <w:sz w:val="20"/>
          <w:szCs w:val="20"/>
          <w:lang w:val="en-GB" w:eastAsia="ja-JP"/>
        </w:rPr>
        <w:t xml:space="preserve">has agreed to keep the existing L2 buffer size definition. </w:t>
      </w:r>
    </w:p>
    <w:p w14:paraId="39390BCE" w14:textId="77777777" w:rsidR="0052044F" w:rsidRPr="00707AAB" w:rsidRDefault="0052044F" w:rsidP="0052044F">
      <w:pPr>
        <w:pStyle w:val="Agreement"/>
        <w:rPr>
          <w:rFonts w:cs="Arial"/>
          <w:szCs w:val="20"/>
        </w:rPr>
      </w:pPr>
      <w:r w:rsidRPr="00C65B46">
        <w:rPr>
          <w:rFonts w:cs="Arial"/>
          <w:szCs w:val="20"/>
        </w:rPr>
        <w:t>#2: Keep the L2 buffer size definition as it reflects the upper bound of the L2 buffer size requirement.</w:t>
      </w:r>
    </w:p>
    <w:p w14:paraId="450F35FC" w14:textId="7AE7C650" w:rsidR="0052044F" w:rsidRDefault="0052044F" w:rsidP="00253853">
      <w:pPr>
        <w:rPr>
          <w:rFonts w:ascii="Arial" w:hAnsi="Arial" w:cs="Arial"/>
          <w:sz w:val="20"/>
          <w:szCs w:val="20"/>
          <w:lang w:val="en-GB" w:eastAsia="ja-JP"/>
        </w:rPr>
      </w:pPr>
    </w:p>
    <w:p w14:paraId="28AFE293" w14:textId="70967A65" w:rsidR="00AE29BD" w:rsidRPr="00707AAB" w:rsidRDefault="00AE29BD" w:rsidP="00253853">
      <w:pPr>
        <w:rPr>
          <w:rFonts w:ascii="Arial" w:hAnsi="Arial" w:cs="Arial"/>
          <w:sz w:val="20"/>
          <w:szCs w:val="20"/>
          <w:lang w:val="en-GB" w:eastAsia="ja-JP"/>
        </w:rPr>
      </w:pPr>
      <w:r w:rsidRPr="00C65B46">
        <w:rPr>
          <w:rFonts w:ascii="Arial" w:hAnsi="Arial" w:cs="Arial"/>
          <w:sz w:val="20"/>
          <w:szCs w:val="20"/>
          <w:lang w:val="en-GB" w:eastAsia="ja-JP"/>
        </w:rPr>
        <w:t>The remaining issue is regarding whether new UE capability is needed to address concern on too high L2 buffer size requirement</w:t>
      </w:r>
      <w:r w:rsidRPr="00707AAB">
        <w:rPr>
          <w:rFonts w:ascii="Arial" w:hAnsi="Arial" w:cs="Arial"/>
          <w:sz w:val="20"/>
          <w:szCs w:val="20"/>
          <w:lang w:val="en-GB" w:eastAsia="ja-JP"/>
        </w:rPr>
        <w:t>.</w:t>
      </w:r>
    </w:p>
    <w:p w14:paraId="57E25E57" w14:textId="08DF776E" w:rsidR="00290562" w:rsidRPr="000B353E" w:rsidRDefault="00290562" w:rsidP="00253853">
      <w:pPr>
        <w:rPr>
          <w:rFonts w:ascii="Arial" w:hAnsi="Arial" w:cs="Arial"/>
          <w:sz w:val="20"/>
          <w:szCs w:val="20"/>
          <w:lang w:val="en-GB" w:eastAsia="ja-JP"/>
        </w:rPr>
      </w:pPr>
      <w:r w:rsidRPr="000B353E">
        <w:rPr>
          <w:rFonts w:ascii="Arial" w:hAnsi="Arial" w:cs="Arial"/>
          <w:sz w:val="20"/>
          <w:szCs w:val="20"/>
          <w:lang w:val="en-GB" w:eastAsia="ja-JP"/>
        </w:rPr>
        <w:t>We don’t think the new UE capability and scaling factor is needed due to the following reasons</w:t>
      </w:r>
    </w:p>
    <w:p w14:paraId="1ABC7E53" w14:textId="0FDE9BDF" w:rsidR="0021613A" w:rsidRPr="00691754" w:rsidRDefault="0021613A" w:rsidP="00691754">
      <w:pPr>
        <w:pStyle w:val="ListParagraph"/>
        <w:rPr>
          <w:rFonts w:ascii="Arial" w:hAnsi="Arial" w:cs="Arial"/>
          <w:sz w:val="20"/>
          <w:szCs w:val="20"/>
          <w:lang w:val="en-US"/>
        </w:rPr>
      </w:pPr>
    </w:p>
    <w:p w14:paraId="45D2C53D" w14:textId="6A83B218" w:rsidR="00661E72" w:rsidRDefault="00F5324E" w:rsidP="00661E72">
      <w:pPr>
        <w:pStyle w:val="ListParagraph"/>
        <w:numPr>
          <w:ilvl w:val="0"/>
          <w:numId w:val="51"/>
        </w:numPr>
        <w:rPr>
          <w:rFonts w:ascii="Arial" w:hAnsi="Arial" w:cs="Arial"/>
          <w:sz w:val="20"/>
          <w:szCs w:val="20"/>
          <w:lang w:val="en-US"/>
        </w:rPr>
      </w:pPr>
      <w:r>
        <w:rPr>
          <w:rFonts w:ascii="Arial" w:hAnsi="Arial" w:cs="Arial"/>
          <w:sz w:val="20"/>
          <w:szCs w:val="20"/>
          <w:lang w:val="en-US"/>
        </w:rPr>
        <w:t xml:space="preserve">For a UE, it is difficult to have a scaling factor setting which is suitable in all cases. L2 buffer size will be affected by the actual data rate that the UE can achieve in reality. The UE data rate may be limited by many realistic factors such as </w:t>
      </w:r>
      <w:r w:rsidRPr="00A318D2">
        <w:rPr>
          <w:rFonts w:ascii="Arial" w:hAnsi="Arial" w:cs="Arial"/>
          <w:sz w:val="20"/>
          <w:szCs w:val="20"/>
          <w:lang w:val="en-US"/>
        </w:rPr>
        <w:t>phase noise issues as well as power limitation and path losses</w:t>
      </w:r>
      <w:r>
        <w:rPr>
          <w:rFonts w:ascii="Arial" w:hAnsi="Arial" w:cs="Arial"/>
          <w:sz w:val="20"/>
          <w:szCs w:val="20"/>
          <w:lang w:val="en-US"/>
        </w:rPr>
        <w:t xml:space="preserve"> etc. </w:t>
      </w:r>
      <w:r w:rsidR="00785F54">
        <w:rPr>
          <w:rFonts w:ascii="Arial" w:hAnsi="Arial" w:cs="Arial"/>
          <w:sz w:val="20"/>
          <w:szCs w:val="20"/>
          <w:lang w:val="en-US"/>
        </w:rPr>
        <w:t xml:space="preserve">When the scaled L2 buffer size using an inaccurate scaling factor turns to be too low </w:t>
      </w:r>
      <w:r w:rsidR="003E3B7B">
        <w:rPr>
          <w:rFonts w:ascii="Arial" w:hAnsi="Arial" w:cs="Arial"/>
          <w:sz w:val="20"/>
          <w:szCs w:val="20"/>
          <w:lang w:val="en-US"/>
        </w:rPr>
        <w:t>from</w:t>
      </w:r>
      <w:r w:rsidR="003E3B7B">
        <w:rPr>
          <w:rFonts w:ascii="Arial" w:hAnsi="Arial" w:cs="Arial"/>
          <w:sz w:val="20"/>
          <w:szCs w:val="20"/>
          <w:lang w:val="en-US"/>
        </w:rPr>
        <w:t xml:space="preserve"> </w:t>
      </w:r>
      <w:r w:rsidR="00785F54">
        <w:rPr>
          <w:rFonts w:ascii="Arial" w:hAnsi="Arial" w:cs="Arial"/>
          <w:sz w:val="20"/>
          <w:szCs w:val="20"/>
          <w:lang w:val="en-US"/>
        </w:rPr>
        <w:t xml:space="preserve">the </w:t>
      </w:r>
      <w:r w:rsidR="003E3B7B">
        <w:rPr>
          <w:rFonts w:ascii="Arial" w:hAnsi="Arial" w:cs="Arial"/>
          <w:sz w:val="20"/>
          <w:szCs w:val="20"/>
          <w:lang w:val="en-US"/>
        </w:rPr>
        <w:t xml:space="preserve">network scheduling capabilities and </w:t>
      </w:r>
      <w:r w:rsidR="00785F54">
        <w:rPr>
          <w:rFonts w:ascii="Arial" w:hAnsi="Arial" w:cs="Arial"/>
          <w:sz w:val="20"/>
          <w:szCs w:val="20"/>
          <w:lang w:val="en-US"/>
        </w:rPr>
        <w:t>UE</w:t>
      </w:r>
      <w:r w:rsidR="003E3B7B">
        <w:rPr>
          <w:rFonts w:ascii="Arial" w:hAnsi="Arial" w:cs="Arial"/>
          <w:sz w:val="20"/>
          <w:szCs w:val="20"/>
          <w:lang w:val="en-US"/>
        </w:rPr>
        <w:t xml:space="preserve"> potential </w:t>
      </w:r>
      <w:r w:rsidR="0071437C">
        <w:rPr>
          <w:rFonts w:ascii="Arial" w:hAnsi="Arial" w:cs="Arial"/>
          <w:sz w:val="20"/>
          <w:szCs w:val="20"/>
          <w:lang w:val="en-US"/>
        </w:rPr>
        <w:t>capacities point of view</w:t>
      </w:r>
      <w:r w:rsidR="00691754">
        <w:rPr>
          <w:rFonts w:ascii="Arial" w:hAnsi="Arial" w:cs="Arial"/>
          <w:sz w:val="20"/>
          <w:szCs w:val="20"/>
          <w:lang w:val="en-US"/>
        </w:rPr>
        <w:t>,</w:t>
      </w:r>
      <w:r w:rsidR="00785F54">
        <w:rPr>
          <w:rFonts w:ascii="Arial" w:hAnsi="Arial" w:cs="Arial"/>
          <w:sz w:val="20"/>
          <w:szCs w:val="20"/>
          <w:lang w:val="en-US"/>
        </w:rPr>
        <w:t xml:space="preserve"> </w:t>
      </w:r>
      <w:r w:rsidR="00691754">
        <w:rPr>
          <w:rFonts w:ascii="Arial" w:hAnsi="Arial" w:cs="Arial"/>
          <w:sz w:val="20"/>
          <w:szCs w:val="20"/>
          <w:lang w:val="en-US"/>
        </w:rPr>
        <w:t xml:space="preserve">the UE has to drop </w:t>
      </w:r>
      <w:r w:rsidR="0021613A">
        <w:rPr>
          <w:rFonts w:ascii="Arial" w:hAnsi="Arial" w:cs="Arial"/>
          <w:sz w:val="20"/>
          <w:szCs w:val="20"/>
          <w:lang w:val="en-US"/>
        </w:rPr>
        <w:t>packet at PDCP or RLC layer</w:t>
      </w:r>
      <w:r w:rsidR="00691754">
        <w:rPr>
          <w:rFonts w:ascii="Arial" w:hAnsi="Arial" w:cs="Arial"/>
          <w:sz w:val="20"/>
          <w:szCs w:val="20"/>
          <w:lang w:val="en-US"/>
        </w:rPr>
        <w:t xml:space="preserve">, which </w:t>
      </w:r>
      <w:r w:rsidR="0021613A">
        <w:rPr>
          <w:rFonts w:ascii="Arial" w:hAnsi="Arial" w:cs="Arial"/>
          <w:sz w:val="20"/>
          <w:szCs w:val="20"/>
          <w:lang w:val="en-US"/>
        </w:rPr>
        <w:t xml:space="preserve">further </w:t>
      </w:r>
      <w:r w:rsidR="000568DB">
        <w:rPr>
          <w:rFonts w:ascii="Arial" w:hAnsi="Arial" w:cs="Arial"/>
          <w:sz w:val="20"/>
          <w:szCs w:val="20"/>
          <w:lang w:val="en-US"/>
        </w:rPr>
        <w:t>causes</w:t>
      </w:r>
      <w:r w:rsidR="0021613A">
        <w:rPr>
          <w:rFonts w:ascii="Arial" w:hAnsi="Arial" w:cs="Arial"/>
          <w:sz w:val="20"/>
          <w:szCs w:val="20"/>
          <w:lang w:val="en-US"/>
        </w:rPr>
        <w:t xml:space="preserve"> transmission window to be reduced.</w:t>
      </w:r>
      <w:r w:rsidR="00D518B8">
        <w:rPr>
          <w:rFonts w:ascii="Arial" w:hAnsi="Arial" w:cs="Arial"/>
          <w:sz w:val="20"/>
          <w:szCs w:val="20"/>
          <w:lang w:val="en-US"/>
        </w:rPr>
        <w:t xml:space="preserve"> </w:t>
      </w:r>
      <w:r w:rsidR="00BD4099">
        <w:rPr>
          <w:rFonts w:ascii="Arial" w:hAnsi="Arial" w:cs="Arial"/>
          <w:sz w:val="20"/>
          <w:szCs w:val="20"/>
          <w:lang w:val="en-US"/>
        </w:rPr>
        <w:t>In such a case, t</w:t>
      </w:r>
      <w:r w:rsidR="00D518B8">
        <w:rPr>
          <w:rFonts w:ascii="Arial" w:hAnsi="Arial" w:cs="Arial"/>
          <w:sz w:val="20"/>
          <w:szCs w:val="20"/>
          <w:lang w:val="en-US"/>
        </w:rPr>
        <w:t xml:space="preserve">ransmission window may take a while to ramp up to a </w:t>
      </w:r>
      <w:r w:rsidR="00D33708">
        <w:rPr>
          <w:rFonts w:ascii="Arial" w:hAnsi="Arial" w:cs="Arial"/>
          <w:sz w:val="20"/>
          <w:szCs w:val="20"/>
          <w:lang w:val="en-US"/>
        </w:rPr>
        <w:t xml:space="preserve">reasonable </w:t>
      </w:r>
      <w:r w:rsidR="00D518B8">
        <w:rPr>
          <w:rFonts w:ascii="Arial" w:hAnsi="Arial" w:cs="Arial"/>
          <w:sz w:val="20"/>
          <w:szCs w:val="20"/>
          <w:lang w:val="en-US"/>
        </w:rPr>
        <w:t xml:space="preserve">level. As a result, </w:t>
      </w:r>
      <w:r w:rsidR="0021613A">
        <w:rPr>
          <w:rFonts w:ascii="Arial" w:hAnsi="Arial" w:cs="Arial"/>
          <w:sz w:val="20"/>
          <w:szCs w:val="20"/>
          <w:lang w:val="en-US"/>
        </w:rPr>
        <w:t xml:space="preserve">UE </w:t>
      </w:r>
      <w:r w:rsidR="0021613A" w:rsidRPr="0021613A">
        <w:rPr>
          <w:rFonts w:ascii="Arial" w:hAnsi="Arial" w:cs="Arial"/>
          <w:sz w:val="20"/>
          <w:szCs w:val="20"/>
          <w:lang w:val="en-US"/>
        </w:rPr>
        <w:t>throughput</w:t>
      </w:r>
      <w:r w:rsidR="00D518B8">
        <w:rPr>
          <w:rFonts w:ascii="Arial" w:hAnsi="Arial" w:cs="Arial"/>
          <w:sz w:val="20"/>
          <w:szCs w:val="20"/>
          <w:lang w:val="en-US"/>
        </w:rPr>
        <w:t xml:space="preserve"> would be negatively impacted unnecessary</w:t>
      </w:r>
      <w:r w:rsidR="0021613A">
        <w:rPr>
          <w:rFonts w:ascii="Arial" w:hAnsi="Arial" w:cs="Arial"/>
          <w:sz w:val="20"/>
          <w:szCs w:val="20"/>
          <w:lang w:val="en-US"/>
        </w:rPr>
        <w:t>.</w:t>
      </w:r>
      <w:r w:rsidR="00661E72">
        <w:rPr>
          <w:rFonts w:ascii="Arial" w:hAnsi="Arial" w:cs="Arial"/>
          <w:sz w:val="20"/>
          <w:szCs w:val="20"/>
          <w:lang w:val="en-US"/>
        </w:rPr>
        <w:t xml:space="preserve"> </w:t>
      </w:r>
    </w:p>
    <w:p w14:paraId="5D9ADD69" w14:textId="67D24D33" w:rsidR="00D9469A" w:rsidRPr="00AB76F7" w:rsidRDefault="00661E72" w:rsidP="000739BB">
      <w:pPr>
        <w:rPr>
          <w:rFonts w:ascii="Arial" w:hAnsi="Arial" w:cs="Arial"/>
          <w:sz w:val="20"/>
          <w:szCs w:val="20"/>
          <w:lang w:val="en-US"/>
        </w:rPr>
      </w:pPr>
      <w:r w:rsidRPr="00AB76F7">
        <w:rPr>
          <w:rFonts w:ascii="Arial" w:hAnsi="Arial" w:cs="Arial"/>
          <w:sz w:val="20"/>
          <w:szCs w:val="20"/>
          <w:lang w:val="en-US"/>
        </w:rPr>
        <w:t xml:space="preserve">There is already existing UE capability, i.e., </w:t>
      </w:r>
      <w:r w:rsidRPr="00206B6C">
        <w:rPr>
          <w:rFonts w:ascii="Arial" w:hAnsi="Arial" w:cs="Arial"/>
          <w:i/>
          <w:iCs/>
          <w:sz w:val="20"/>
          <w:szCs w:val="20"/>
          <w:lang w:val="en-US"/>
        </w:rPr>
        <w:t>scalingFactor</w:t>
      </w:r>
      <w:r w:rsidRPr="00206B6C">
        <w:rPr>
          <w:rFonts w:ascii="Arial" w:hAnsi="Arial" w:cs="Arial"/>
          <w:sz w:val="20"/>
          <w:szCs w:val="20"/>
          <w:lang w:val="en-US"/>
        </w:rPr>
        <w:t xml:space="preserve"> for both PDSCH and PUSCH, which can be used already to indicate limitation</w:t>
      </w:r>
      <w:r w:rsidR="005E0DBC" w:rsidRPr="00206B6C">
        <w:rPr>
          <w:rFonts w:ascii="Arial" w:hAnsi="Arial" w:cs="Arial"/>
          <w:sz w:val="20"/>
          <w:szCs w:val="20"/>
          <w:lang w:val="en-US"/>
        </w:rPr>
        <w:t xml:space="preserve"> of maximum data rate</w:t>
      </w:r>
      <w:r w:rsidRPr="00206B6C">
        <w:rPr>
          <w:rFonts w:ascii="Arial" w:hAnsi="Arial" w:cs="Arial"/>
          <w:sz w:val="20"/>
          <w:szCs w:val="20"/>
          <w:lang w:val="en-US"/>
        </w:rPr>
        <w:t xml:space="preserve"> </w:t>
      </w:r>
      <w:r w:rsidR="005E0DBC" w:rsidRPr="00531013">
        <w:rPr>
          <w:rFonts w:ascii="Arial" w:hAnsi="Arial" w:cs="Arial"/>
          <w:sz w:val="20"/>
          <w:szCs w:val="20"/>
          <w:lang w:val="en-US"/>
        </w:rPr>
        <w:t xml:space="preserve">calculation </w:t>
      </w:r>
      <w:r w:rsidRPr="00531013">
        <w:rPr>
          <w:rFonts w:ascii="Arial" w:hAnsi="Arial" w:cs="Arial"/>
          <w:sz w:val="20"/>
          <w:szCs w:val="20"/>
          <w:lang w:val="en-US"/>
        </w:rPr>
        <w:t>and thus limit L2 buffer size.</w:t>
      </w:r>
      <w:r w:rsidR="00143508" w:rsidRPr="00531013">
        <w:rPr>
          <w:rFonts w:ascii="Arial" w:hAnsi="Arial" w:cs="Arial"/>
          <w:sz w:val="20"/>
          <w:szCs w:val="20"/>
          <w:lang w:val="en-US"/>
        </w:rPr>
        <w:t xml:space="preserve"> Also, the UE can report the supported band combination that scale</w:t>
      </w:r>
      <w:r w:rsidR="006F74E2">
        <w:rPr>
          <w:rFonts w:ascii="Arial" w:hAnsi="Arial" w:cs="Arial"/>
          <w:sz w:val="20"/>
          <w:szCs w:val="20"/>
          <w:lang w:val="en-US"/>
        </w:rPr>
        <w:t>s</w:t>
      </w:r>
      <w:r w:rsidR="00143508" w:rsidRPr="006F74E2">
        <w:rPr>
          <w:rFonts w:ascii="Arial" w:hAnsi="Arial" w:cs="Arial"/>
          <w:sz w:val="20"/>
          <w:szCs w:val="20"/>
          <w:lang w:val="en-US"/>
        </w:rPr>
        <w:t xml:space="preserve"> with the UE</w:t>
      </w:r>
      <w:r w:rsidR="00143508" w:rsidRPr="00531013">
        <w:rPr>
          <w:rFonts w:ascii="Arial" w:hAnsi="Arial" w:cs="Arial"/>
          <w:sz w:val="20"/>
          <w:szCs w:val="20"/>
          <w:lang w:val="en-US"/>
        </w:rPr>
        <w:t>’s actual L2 buffer size.</w:t>
      </w:r>
      <w:r w:rsidRPr="00531013">
        <w:rPr>
          <w:rFonts w:ascii="Arial" w:hAnsi="Arial" w:cs="Arial"/>
          <w:sz w:val="20"/>
          <w:szCs w:val="20"/>
          <w:lang w:val="en-US"/>
        </w:rPr>
        <w:t xml:space="preserve"> </w:t>
      </w:r>
    </w:p>
    <w:p w14:paraId="44E3A68A" w14:textId="16EE30DB" w:rsidR="00D9469A" w:rsidRDefault="00D9469A" w:rsidP="00D9469A">
      <w:pPr>
        <w:rPr>
          <w:rFonts w:ascii="Arial" w:hAnsi="Arial" w:cs="Arial"/>
          <w:sz w:val="20"/>
          <w:szCs w:val="20"/>
          <w:lang w:val="en-US"/>
        </w:rPr>
      </w:pPr>
      <w:r>
        <w:rPr>
          <w:rFonts w:ascii="Arial" w:hAnsi="Arial" w:cs="Arial"/>
          <w:sz w:val="20"/>
          <w:szCs w:val="20"/>
          <w:lang w:val="en-US"/>
        </w:rPr>
        <w:t>Based on the above reasons, the use cases and potential benefits by introducing new UE capability is unclear to us. Therefore, in order to limit design efforts for R17, we suggest that</w:t>
      </w:r>
    </w:p>
    <w:p w14:paraId="23DA78F8" w14:textId="5965D6C5" w:rsidR="00D9469A" w:rsidRDefault="00D9469A" w:rsidP="00D9469A">
      <w:pPr>
        <w:pStyle w:val="Proposal"/>
      </w:pPr>
      <w:bookmarkStart w:id="9" w:name="_Toc92797046"/>
      <w:r>
        <w:t xml:space="preserve">For </w:t>
      </w:r>
      <w:r w:rsidR="00797EF5">
        <w:t xml:space="preserve">NR </w:t>
      </w:r>
      <w:r>
        <w:t>operation in 71 GHz, n</w:t>
      </w:r>
      <w:r w:rsidRPr="00B23308">
        <w:t xml:space="preserve">o </w:t>
      </w:r>
      <w:r>
        <w:t>new UE capability and scaling factor is needed for indicating L2 buffer size requirement of the UE.</w:t>
      </w:r>
      <w:bookmarkEnd w:id="9"/>
    </w:p>
    <w:p w14:paraId="312642B9" w14:textId="77777777" w:rsidR="00D9469A" w:rsidRPr="00C65B46" w:rsidRDefault="00D9469A" w:rsidP="00C65B46">
      <w:pPr>
        <w:rPr>
          <w:rFonts w:ascii="Arial" w:hAnsi="Arial" w:cs="Arial"/>
          <w:sz w:val="20"/>
          <w:szCs w:val="20"/>
          <w:lang w:val="en-GB"/>
        </w:rPr>
      </w:pPr>
    </w:p>
    <w:p w14:paraId="1348D257" w14:textId="6922A3C4" w:rsidR="00B0099F" w:rsidRDefault="00B0099F" w:rsidP="00B0099F">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3</w:t>
      </w:r>
      <w:r>
        <w:rPr>
          <w:rFonts w:eastAsia="Times New Roman"/>
        </w:rPr>
        <w:t xml:space="preserve"> </w:t>
      </w:r>
      <w:r w:rsidR="00413B66">
        <w:rPr>
          <w:rFonts w:eastAsia="Times New Roman"/>
        </w:rPr>
        <w:t>RACH design</w:t>
      </w:r>
    </w:p>
    <w:p w14:paraId="488A0C1C" w14:textId="09E880E3" w:rsidR="007F577A" w:rsidRPr="008A0518" w:rsidRDefault="00B31344" w:rsidP="007F577A">
      <w:pPr>
        <w:rPr>
          <w:rFonts w:ascii="Arial" w:hAnsi="Arial" w:cs="Arial"/>
          <w:sz w:val="20"/>
          <w:szCs w:val="20"/>
          <w:lang w:val="en-US" w:eastAsia="ko-KR"/>
        </w:rPr>
      </w:pPr>
      <w:r>
        <w:rPr>
          <w:rFonts w:ascii="Arial" w:eastAsia="DengXian" w:hAnsi="Arial" w:cs="Arial"/>
          <w:sz w:val="20"/>
          <w:szCs w:val="20"/>
          <w:lang w:val="en-US" w:eastAsia="ko-KR"/>
        </w:rPr>
        <w:t xml:space="preserve">According to RAN1 agreement, </w:t>
      </w:r>
      <w:r w:rsidR="007F577A" w:rsidRPr="002C796D">
        <w:rPr>
          <w:rFonts w:ascii="Arial" w:eastAsia="DengXian" w:hAnsi="Arial" w:cs="Arial"/>
          <w:sz w:val="20"/>
          <w:szCs w:val="20"/>
          <w:lang w:val="en-US" w:eastAsia="ko-KR"/>
        </w:rPr>
        <w:t xml:space="preserve"> the expression for RA-RNTI computation can be reused from Rel-15/16. According to clause 5.1.3 of 38.321, </w:t>
      </w:r>
      <w:r w:rsidR="007F577A" w:rsidRPr="002C796D">
        <w:rPr>
          <w:rFonts w:ascii="Arial" w:hAnsi="Arial" w:cs="Arial"/>
          <w:sz w:val="20"/>
          <w:szCs w:val="20"/>
          <w:lang w:val="en-US" w:eastAsia="ko-KR"/>
        </w:rPr>
        <w:t>the RA-RNTI associated with the PRACH occasion in which the PRACH preamble is transmitted is computed as</w:t>
      </w:r>
    </w:p>
    <w:p w14:paraId="72FF6922" w14:textId="77777777" w:rsidR="007F577A" w:rsidRPr="008A0518" w:rsidRDefault="007F577A" w:rsidP="007F577A">
      <w:pPr>
        <w:pStyle w:val="EQ"/>
        <w:jc w:val="center"/>
        <w:rPr>
          <w:rFonts w:ascii="Arial" w:hAnsi="Arial" w:cs="Arial"/>
          <w:lang w:eastAsia="ko-KR"/>
        </w:rPr>
      </w:pPr>
      <w:r w:rsidRPr="008A0518">
        <w:rPr>
          <w:rFonts w:ascii="Arial" w:hAnsi="Arial" w:cs="Arial"/>
          <w:lang w:eastAsia="ko-KR"/>
        </w:rPr>
        <w:t>RA-RNTI = 1 + s_id + 14 × t_id + 14 × 80 × f_id + 14 × 80 × 8 × ul_carrier_id,</w:t>
      </w:r>
    </w:p>
    <w:p w14:paraId="4B712AD2" w14:textId="77777777" w:rsidR="007F577A" w:rsidRPr="008A0518" w:rsidRDefault="007F577A" w:rsidP="007F577A">
      <w:pPr>
        <w:rPr>
          <w:rFonts w:ascii="Arial" w:hAnsi="Arial" w:cs="Arial"/>
          <w:sz w:val="20"/>
          <w:szCs w:val="20"/>
          <w:lang w:val="en-US" w:eastAsia="ko-KR"/>
        </w:rPr>
      </w:pPr>
      <w:r w:rsidRPr="008A0518">
        <w:rPr>
          <w:rFonts w:ascii="Arial" w:hAnsi="Arial" w:cs="Arial"/>
          <w:sz w:val="20"/>
          <w:szCs w:val="20"/>
          <w:lang w:val="en-US" w:eastAsia="ko-KR"/>
        </w:rPr>
        <w:t xml:space="preserve">where s_id is the index of the first OFDM symbol of the PRACH occasion (0 </w:t>
      </w:r>
      <w:r w:rsidRPr="008A0518">
        <w:rPr>
          <w:rFonts w:ascii="Arial" w:hAnsi="Arial" w:cs="Arial"/>
          <w:noProof/>
          <w:sz w:val="20"/>
          <w:szCs w:val="20"/>
          <w:lang w:val="en-US"/>
        </w:rPr>
        <w:t>≤</w:t>
      </w:r>
      <w:r w:rsidRPr="008A0518">
        <w:rPr>
          <w:rFonts w:ascii="Arial" w:hAnsi="Arial" w:cs="Arial"/>
          <w:noProof/>
          <w:sz w:val="20"/>
          <w:szCs w:val="20"/>
          <w:lang w:val="en-US" w:eastAsia="ko-KR"/>
        </w:rPr>
        <w:t xml:space="preserve"> </w:t>
      </w:r>
      <w:r w:rsidRPr="008A0518">
        <w:rPr>
          <w:rFonts w:ascii="Arial" w:hAnsi="Arial" w:cs="Arial"/>
          <w:sz w:val="20"/>
          <w:szCs w:val="20"/>
          <w:lang w:val="en-US" w:eastAsia="ko-KR"/>
        </w:rPr>
        <w:t xml:space="preserve">s_id &lt; 14), t_id is the index of the first slot of the PRACH occasion in a system frame (0 </w:t>
      </w:r>
      <w:r w:rsidRPr="008A0518">
        <w:rPr>
          <w:rFonts w:ascii="Arial" w:hAnsi="Arial" w:cs="Arial"/>
          <w:noProof/>
          <w:sz w:val="20"/>
          <w:szCs w:val="20"/>
          <w:lang w:val="en-US"/>
        </w:rPr>
        <w:t>≤</w:t>
      </w:r>
      <w:r w:rsidRPr="008A0518">
        <w:rPr>
          <w:rFonts w:ascii="Arial" w:hAnsi="Arial" w:cs="Arial"/>
          <w:sz w:val="20"/>
          <w:szCs w:val="20"/>
          <w:lang w:val="en-US" w:eastAsia="ko-KR"/>
        </w:rPr>
        <w:t xml:space="preserve"> t_id &lt; 80), f_id is the index of the PRACH occasion in the frequency domain (0 </w:t>
      </w:r>
      <w:r w:rsidRPr="008A0518">
        <w:rPr>
          <w:rFonts w:ascii="Arial" w:hAnsi="Arial" w:cs="Arial"/>
          <w:noProof/>
          <w:sz w:val="20"/>
          <w:szCs w:val="20"/>
          <w:lang w:val="en-US"/>
        </w:rPr>
        <w:t>≤</w:t>
      </w:r>
      <w:r w:rsidRPr="008A0518">
        <w:rPr>
          <w:rFonts w:ascii="Arial" w:hAnsi="Arial" w:cs="Arial"/>
          <w:sz w:val="20"/>
          <w:szCs w:val="20"/>
          <w:lang w:val="en-US" w:eastAsia="ko-KR"/>
        </w:rPr>
        <w:t xml:space="preserve"> f_id &lt; 8), and ul_carrier_id is the UL carrier used for Random Access Preamble transmission (0 for NUL carrier, and 1 for SUL carrier). </w:t>
      </w:r>
    </w:p>
    <w:p w14:paraId="21D6C752" w14:textId="77777777" w:rsidR="000B353E" w:rsidRDefault="000B353E" w:rsidP="007F577A">
      <w:pPr>
        <w:rPr>
          <w:rFonts w:ascii="Arial" w:hAnsi="Arial" w:cs="Arial"/>
          <w:sz w:val="20"/>
          <w:szCs w:val="20"/>
          <w:lang w:val="en-US" w:eastAsia="ko-KR"/>
        </w:rPr>
      </w:pPr>
    </w:p>
    <w:p w14:paraId="48F47D89" w14:textId="514572E8" w:rsidR="000B353E" w:rsidRPr="000B353E" w:rsidRDefault="000B353E" w:rsidP="000B353E">
      <w:pPr>
        <w:rPr>
          <w:rFonts w:ascii="Arial" w:hAnsi="Arial" w:cs="Arial"/>
          <w:sz w:val="20"/>
          <w:szCs w:val="20"/>
          <w:lang w:val="en-US"/>
        </w:rPr>
      </w:pPr>
      <w:r w:rsidRPr="000B353E">
        <w:rPr>
          <w:rFonts w:ascii="Arial" w:hAnsi="Arial" w:cs="Arial"/>
          <w:sz w:val="20"/>
          <w:szCs w:val="20"/>
          <w:lang w:val="en-US" w:eastAsia="ko-KR"/>
        </w:rPr>
        <w:t xml:space="preserve">RAN1 has discussed this issue and agreed to use </w:t>
      </w:r>
      <w:r w:rsidRPr="000B353E">
        <w:rPr>
          <w:rFonts w:ascii="Arial" w:hAnsi="Arial" w:cs="Arial"/>
          <w:sz w:val="20"/>
          <w:szCs w:val="20"/>
          <w:lang w:val="en-US"/>
        </w:rPr>
        <w:t xml:space="preserve">t_id </w:t>
      </w:r>
      <w:r w:rsidRPr="006E0AA2">
        <w:rPr>
          <w:rFonts w:ascii="Arial" w:hAnsi="Arial" w:cs="Arial"/>
          <w:sz w:val="20"/>
          <w:szCs w:val="20"/>
          <w:lang w:val="en-US"/>
        </w:rPr>
        <w:t>inde</w:t>
      </w:r>
      <w:r w:rsidRPr="00D2584A">
        <w:rPr>
          <w:rFonts w:ascii="Arial" w:hAnsi="Arial" w:cs="Arial"/>
          <w:sz w:val="20"/>
          <w:szCs w:val="20"/>
          <w:lang w:val="en-US"/>
        </w:rPr>
        <w:t>x of the 120 kHz slot in a system frame that contains the PRACH occasion (0 ≤ t_id &lt; 80)</w:t>
      </w:r>
      <w:r w:rsidRPr="00974370">
        <w:rPr>
          <w:rFonts w:ascii="Arial" w:hAnsi="Arial" w:cs="Arial"/>
          <w:sz w:val="20"/>
          <w:szCs w:val="20"/>
          <w:lang w:val="en-US"/>
        </w:rPr>
        <w:t xml:space="preserve"> for</w:t>
      </w:r>
      <w:r w:rsidRPr="0074647E">
        <w:rPr>
          <w:rFonts w:ascii="Arial" w:hAnsi="Arial" w:cs="Arial"/>
          <w:sz w:val="20"/>
          <w:szCs w:val="20"/>
          <w:lang w:val="en-US"/>
        </w:rPr>
        <w:t xml:space="preserve"> </w:t>
      </w:r>
      <w:r w:rsidRPr="0060291E">
        <w:rPr>
          <w:rFonts w:ascii="Arial" w:hAnsi="Arial" w:cs="Arial"/>
          <w:sz w:val="20"/>
          <w:szCs w:val="20"/>
          <w:lang w:val="en-US"/>
        </w:rPr>
        <w:t xml:space="preserve">PRACH transmission with </w:t>
      </w:r>
      <w:r w:rsidRPr="00DE0463">
        <w:rPr>
          <w:rFonts w:ascii="Arial" w:hAnsi="Arial" w:cs="Arial"/>
          <w:sz w:val="20"/>
          <w:szCs w:val="20"/>
          <w:lang w:val="en-US"/>
        </w:rPr>
        <w:t xml:space="preserve">480/960 kHz SCS. RAN1 </w:t>
      </w:r>
      <w:r w:rsidRPr="00F032EE">
        <w:rPr>
          <w:rFonts w:ascii="Arial" w:hAnsi="Arial" w:cs="Arial"/>
          <w:sz w:val="20"/>
          <w:szCs w:val="20"/>
          <w:lang w:val="en-US"/>
        </w:rPr>
        <w:t xml:space="preserve">has therefore sent a LS </w:t>
      </w:r>
      <w:r w:rsidRPr="000B353E">
        <w:rPr>
          <w:rFonts w:ascii="Arial" w:hAnsi="Arial" w:cs="Arial"/>
          <w:sz w:val="20"/>
          <w:szCs w:val="20"/>
          <w:lang w:val="en-US"/>
        </w:rPr>
        <w:t>R1-2112832</w:t>
      </w:r>
      <w:r w:rsidRPr="000B353E">
        <w:rPr>
          <w:rFonts w:ascii="Arial" w:hAnsi="Arial" w:cs="Arial"/>
          <w:b/>
          <w:bCs/>
          <w:sz w:val="20"/>
          <w:szCs w:val="20"/>
          <w:lang w:val="en-US"/>
        </w:rPr>
        <w:t xml:space="preserve"> </w:t>
      </w:r>
      <w:r w:rsidRPr="000B353E">
        <w:rPr>
          <w:rFonts w:ascii="Arial" w:hAnsi="Arial" w:cs="Arial"/>
          <w:sz w:val="20"/>
          <w:szCs w:val="20"/>
          <w:lang w:val="en-US"/>
        </w:rPr>
        <w:t xml:space="preserve">to RAN2. In the LS, RAN1 has asked RAN2 to update appropriate RAN2 specifications based on RAN1 agreements. </w:t>
      </w:r>
    </w:p>
    <w:p w14:paraId="44E72322" w14:textId="6680C630" w:rsidR="000B353E" w:rsidRPr="000B353E" w:rsidRDefault="000B353E" w:rsidP="007F577A">
      <w:pPr>
        <w:rPr>
          <w:rFonts w:ascii="Arial" w:hAnsi="Arial" w:cs="Arial"/>
          <w:sz w:val="20"/>
          <w:szCs w:val="20"/>
          <w:lang w:val="x-none" w:eastAsia="ko-KR"/>
        </w:rPr>
      </w:pPr>
    </w:p>
    <w:p w14:paraId="4F84A2AA" w14:textId="2B794FA6" w:rsidR="007F577A" w:rsidRDefault="000B353E" w:rsidP="007F577A">
      <w:pPr>
        <w:rPr>
          <w:rFonts w:ascii="Arial" w:hAnsi="Arial" w:cs="Arial"/>
          <w:sz w:val="20"/>
          <w:szCs w:val="20"/>
          <w:lang w:val="en-US" w:eastAsia="ko-KR"/>
        </w:rPr>
      </w:pPr>
      <w:r>
        <w:rPr>
          <w:rFonts w:ascii="Arial" w:hAnsi="Arial" w:cs="Arial"/>
          <w:sz w:val="20"/>
          <w:szCs w:val="20"/>
          <w:lang w:val="en-US" w:eastAsia="ko-KR"/>
        </w:rPr>
        <w:t>Based on RAN1 agreements highlighted in the LS, t</w:t>
      </w:r>
      <w:r w:rsidR="007F577A" w:rsidRPr="008A0518">
        <w:rPr>
          <w:rFonts w:ascii="Arial" w:hAnsi="Arial" w:cs="Arial"/>
          <w:sz w:val="20"/>
          <w:szCs w:val="20"/>
          <w:lang w:val="en-US" w:eastAsia="ko-KR"/>
        </w:rPr>
        <w:t>he only thing that would need to be clarified in Rel</w:t>
      </w:r>
      <w:r w:rsidR="007F577A" w:rsidRPr="008A0518">
        <w:rPr>
          <w:rFonts w:ascii="Arial" w:hAnsi="Arial" w:cs="Arial"/>
          <w:sz w:val="20"/>
          <w:szCs w:val="20"/>
          <w:lang w:val="en-US" w:eastAsia="ko-KR"/>
        </w:rPr>
        <w:noBreakHyphen/>
        <w:t xml:space="preserve">17 is that in the case of PRACH subcarrier spacing 480/960 kHz, t_id should be calculated based on a subcarrier spacing of 120 kHz (as opposed to Rel-15/16 where it is always based on the actual PRACH SCS, i.e., value of </w:t>
      </w:r>
      <w:r w:rsidR="007F577A" w:rsidRPr="008A0518">
        <w:rPr>
          <w:rFonts w:ascii="Arial" w:hAnsi="Arial" w:cs="Arial"/>
          <w:sz w:val="20"/>
          <w:szCs w:val="20"/>
          <w:lang w:eastAsia="ko-KR"/>
        </w:rPr>
        <w:t>μ</w:t>
      </w:r>
      <w:r w:rsidR="007F577A" w:rsidRPr="008A0518">
        <w:rPr>
          <w:rFonts w:ascii="Arial" w:hAnsi="Arial" w:cs="Arial"/>
          <w:sz w:val="20"/>
          <w:szCs w:val="20"/>
          <w:lang w:val="en-US" w:eastAsia="ko-KR"/>
        </w:rPr>
        <w:t xml:space="preserve"> specified in clause 5.3.2 of 38.211),</w:t>
      </w:r>
    </w:p>
    <w:p w14:paraId="3771F925" w14:textId="1BFB17A9" w:rsidR="007F577A" w:rsidRPr="001B1247" w:rsidRDefault="006E0AA2" w:rsidP="007F577A">
      <w:pPr>
        <w:pStyle w:val="Observation"/>
      </w:pPr>
      <w:bookmarkStart w:id="10" w:name="_Toc92797042"/>
      <w:r>
        <w:rPr>
          <w:rFonts w:cs="Arial"/>
        </w:rPr>
        <w:lastRenderedPageBreak/>
        <w:t>As indicated in the RAN1 LS</w:t>
      </w:r>
      <w:r w:rsidR="007F577A" w:rsidRPr="007F577A">
        <w:rPr>
          <w:rFonts w:cs="Arial"/>
        </w:rPr>
        <w:t xml:space="preserve">, </w:t>
      </w:r>
      <w:r w:rsidR="007F577A" w:rsidRPr="007F577A">
        <w:rPr>
          <w:rFonts w:eastAsia="DengXian" w:cs="Arial"/>
          <w:lang w:eastAsia="ko-KR"/>
        </w:rPr>
        <w:t>similar to Rel</w:t>
      </w:r>
      <w:r w:rsidR="007F577A" w:rsidRPr="007F577A">
        <w:rPr>
          <w:rFonts w:eastAsia="DengXian" w:cs="Arial"/>
          <w:lang w:eastAsia="ko-KR"/>
        </w:rPr>
        <w:noBreakHyphen/>
        <w:t>15/16, a maximum of one PRACH slot can occur within the duration of a 120 kHz slot,</w:t>
      </w:r>
      <w:r w:rsidR="007F577A" w:rsidRPr="007F577A">
        <w:rPr>
          <w:rFonts w:cs="Arial"/>
        </w:rPr>
        <w:t xml:space="preserve"> the expression for computing RA-RNTI in Rel</w:t>
      </w:r>
      <w:r w:rsidR="007F577A" w:rsidRPr="007F577A">
        <w:rPr>
          <w:rFonts w:cs="Arial"/>
        </w:rPr>
        <w:noBreakHyphen/>
        <w:t>15/16 can be directly reused, with the additional statement that for PRACH subcarrier spacings 480/960 kHz, t_id should be calculated based on a subcarrier spacing of 120 kHz</w:t>
      </w:r>
      <w:r w:rsidR="007F577A">
        <w:rPr>
          <w:rFonts w:cs="Arial"/>
        </w:rPr>
        <w:t>.</w:t>
      </w:r>
      <w:bookmarkEnd w:id="10"/>
      <w:r w:rsidR="007F577A">
        <w:rPr>
          <w:rFonts w:cs="Arial"/>
        </w:rPr>
        <w:t xml:space="preserve"> </w:t>
      </w:r>
    </w:p>
    <w:p w14:paraId="6DDF0E6B" w14:textId="77777777" w:rsidR="007F577A" w:rsidRPr="002D665B" w:rsidRDefault="007F577A" w:rsidP="007F577A">
      <w:pPr>
        <w:rPr>
          <w:rFonts w:ascii="Arial" w:hAnsi="Arial" w:cs="Arial"/>
          <w:sz w:val="20"/>
          <w:szCs w:val="20"/>
          <w:lang w:val="en-GB"/>
        </w:rPr>
      </w:pPr>
    </w:p>
    <w:p w14:paraId="21390394" w14:textId="0EC5790F" w:rsidR="007F577A" w:rsidRDefault="007F577A" w:rsidP="007F577A">
      <w:pPr>
        <w:pStyle w:val="Proposal"/>
      </w:pPr>
      <w:bookmarkStart w:id="11" w:name="_Toc92797047"/>
      <w:r w:rsidRPr="007F577A">
        <w:rPr>
          <w:rFonts w:cs="Arial"/>
        </w:rPr>
        <w:t xml:space="preserve">For 480/960 kHz PRACH, </w:t>
      </w:r>
      <w:r w:rsidR="006E0AA2">
        <w:rPr>
          <w:rFonts w:cs="Arial"/>
        </w:rPr>
        <w:t xml:space="preserve">according to RAN1 agreement, RAN2 confirms to </w:t>
      </w:r>
      <w:r w:rsidRPr="007F577A">
        <w:rPr>
          <w:rFonts w:cs="Arial"/>
        </w:rPr>
        <w:t>reuse the RA-RNTI expressions from Rel-15/16, with the additional statement that for 480/960 kHz PRACH, t_id should be determined based on a subcarrier spacing of 120 kHz</w:t>
      </w:r>
      <w:r w:rsidRPr="0013140C">
        <w:t>.</w:t>
      </w:r>
      <w:bookmarkEnd w:id="11"/>
    </w:p>
    <w:p w14:paraId="3ED1D372" w14:textId="77777777" w:rsidR="00D2584A" w:rsidRPr="000528D4" w:rsidRDefault="00D2584A" w:rsidP="00D2584A">
      <w:pPr>
        <w:rPr>
          <w:rFonts w:ascii="Arial" w:hAnsi="Arial" w:cs="Arial"/>
          <w:sz w:val="20"/>
          <w:szCs w:val="20"/>
          <w:lang w:val="en-GB"/>
        </w:rPr>
      </w:pPr>
    </w:p>
    <w:p w14:paraId="13CE50AB" w14:textId="03C2B5B4" w:rsidR="002A61C9" w:rsidRDefault="002A61C9" w:rsidP="002A61C9">
      <w:pPr>
        <w:pStyle w:val="Heading2"/>
        <w:rPr>
          <w:rFonts w:eastAsia="Times New Roman"/>
        </w:rPr>
      </w:pPr>
      <w:r>
        <w:rPr>
          <w:rFonts w:asciiTheme="minorEastAsia" w:eastAsiaTheme="minorEastAsia" w:hAnsiTheme="minorEastAsia" w:hint="eastAsia"/>
          <w:lang w:eastAsia="zh-CN"/>
        </w:rPr>
        <w:t>2.</w:t>
      </w:r>
      <w:r w:rsidR="00B0099F">
        <w:rPr>
          <w:rFonts w:asciiTheme="minorEastAsia" w:eastAsiaTheme="minorEastAsia" w:hAnsiTheme="minorEastAsia"/>
          <w:lang w:eastAsia="zh-CN"/>
        </w:rPr>
        <w:t>4</w:t>
      </w:r>
      <w:r>
        <w:rPr>
          <w:rFonts w:eastAsia="Times New Roman"/>
        </w:rPr>
        <w:t xml:space="preserve"> LBT failure handling</w:t>
      </w:r>
    </w:p>
    <w:p w14:paraId="40C3FCA1" w14:textId="2B35CCE6" w:rsidR="00A44071" w:rsidRPr="003C00CB" w:rsidRDefault="00A44071" w:rsidP="00A44071">
      <w:pPr>
        <w:rPr>
          <w:rFonts w:ascii="Arial" w:eastAsia="Malgun Gothic" w:hAnsi="Arial" w:cs="Arial"/>
          <w:sz w:val="20"/>
          <w:szCs w:val="20"/>
          <w:lang w:val="en-US" w:eastAsia="ko-KR"/>
        </w:rPr>
      </w:pPr>
      <w:r w:rsidRPr="00E7649E">
        <w:rPr>
          <w:rStyle w:val="normaltextrun1"/>
          <w:rFonts w:ascii="Arial" w:hAnsi="Arial" w:cs="Arial"/>
          <w:sz w:val="20"/>
          <w:szCs w:val="20"/>
          <w:lang w:val="en-GB"/>
        </w:rPr>
        <w:t xml:space="preserve">In NR Rel-16, </w:t>
      </w:r>
      <w:r w:rsidRPr="00E7649E">
        <w:rPr>
          <w:rFonts w:ascii="Arial" w:hAnsi="Arial" w:cs="Arial"/>
          <w:sz w:val="20"/>
          <w:szCs w:val="20"/>
          <w:lang w:val="en-US" w:eastAsia="ko-KR"/>
        </w:rPr>
        <w:t>the</w:t>
      </w:r>
      <w:r w:rsidRPr="003C00CB">
        <w:rPr>
          <w:rFonts w:ascii="Arial" w:hAnsi="Arial" w:cs="Arial"/>
          <w:sz w:val="20"/>
          <w:szCs w:val="20"/>
          <w:lang w:val="en-US" w:eastAsia="ko-KR"/>
        </w:rPr>
        <w:t xml:space="preserve"> MAC entity may be configured by RRC with a consistent LBT failure recovery procedure. Consistent LBT failure is detected per UL BWP by counting LBT failure indications, for all UL transmissions, from the lower layers to the MAC entity.</w:t>
      </w:r>
    </w:p>
    <w:p w14:paraId="02ABC2B6" w14:textId="5FC17B34" w:rsidR="005B1D21" w:rsidRDefault="00E7649E" w:rsidP="00E7649E">
      <w:pPr>
        <w:pStyle w:val="paragraph"/>
        <w:jc w:val="both"/>
        <w:textAlignment w:val="baseline"/>
        <w:rPr>
          <w:rFonts w:ascii="Arial" w:hAnsi="Arial" w:cs="Arial"/>
          <w:sz w:val="20"/>
          <w:szCs w:val="20"/>
          <w:lang w:val="en-US"/>
        </w:rPr>
      </w:pPr>
      <w:r w:rsidRPr="005B1D21">
        <w:rPr>
          <w:rFonts w:ascii="Arial" w:hAnsi="Arial" w:cs="Arial"/>
          <w:sz w:val="20"/>
          <w:szCs w:val="20"/>
          <w:lang w:val="en-US"/>
        </w:rPr>
        <w:t xml:space="preserve">For NR 71 GHz, </w:t>
      </w:r>
      <w:r w:rsidRPr="003C00CB">
        <w:rPr>
          <w:rFonts w:ascii="Arial" w:hAnsi="Arial" w:cs="Arial"/>
          <w:sz w:val="20"/>
          <w:szCs w:val="20"/>
          <w:lang w:val="en-US"/>
        </w:rPr>
        <w:t>LBT failure is rare or even nonexistent. LBT is not a requirement in all regulatory regions or bands, and thus it has been agreed to support both a mode with and without LBT. Even for regions/bands where LBT is required</w:t>
      </w:r>
      <w:r>
        <w:rPr>
          <w:rFonts w:ascii="Arial" w:hAnsi="Arial" w:cs="Arial"/>
          <w:sz w:val="20"/>
          <w:szCs w:val="20"/>
          <w:lang w:val="en-US"/>
        </w:rPr>
        <w:t xml:space="preserve">, given </w:t>
      </w:r>
      <w:r w:rsidRPr="003C00CB">
        <w:rPr>
          <w:rFonts w:ascii="Arial" w:hAnsi="Arial" w:cs="Arial"/>
          <w:sz w:val="20"/>
          <w:szCs w:val="20"/>
          <w:lang w:val="en-US"/>
        </w:rPr>
        <w:t>the fact that the inherent use of narrow beams and the large path loss significantly reduces the probability of interference</w:t>
      </w:r>
      <w:r>
        <w:rPr>
          <w:rFonts w:ascii="Arial" w:hAnsi="Arial" w:cs="Arial"/>
          <w:sz w:val="20"/>
          <w:szCs w:val="20"/>
          <w:lang w:val="en-US"/>
        </w:rPr>
        <w:t>, LBT failure would be rather rare</w:t>
      </w:r>
      <w:r w:rsidRPr="003C00CB">
        <w:rPr>
          <w:rFonts w:ascii="Arial" w:hAnsi="Arial" w:cs="Arial"/>
          <w:sz w:val="20"/>
          <w:szCs w:val="20"/>
          <w:lang w:val="en-US"/>
        </w:rPr>
        <w:t>.</w:t>
      </w:r>
      <w:r w:rsidR="00E12E9D">
        <w:rPr>
          <w:rFonts w:ascii="Arial" w:hAnsi="Arial" w:cs="Arial"/>
          <w:sz w:val="20"/>
          <w:szCs w:val="20"/>
          <w:lang w:val="en-US"/>
        </w:rPr>
        <w:t xml:space="preserve"> Give this in mind, </w:t>
      </w:r>
      <w:r w:rsidR="005B1D21">
        <w:rPr>
          <w:rFonts w:ascii="Arial" w:hAnsi="Arial" w:cs="Arial"/>
          <w:sz w:val="20"/>
          <w:szCs w:val="20"/>
          <w:lang w:val="en-US"/>
        </w:rPr>
        <w:t>support of</w:t>
      </w:r>
      <w:r w:rsidR="00E12E9D">
        <w:rPr>
          <w:rFonts w:ascii="Arial" w:hAnsi="Arial" w:cs="Arial"/>
          <w:sz w:val="20"/>
          <w:szCs w:val="20"/>
          <w:lang w:val="en-US"/>
        </w:rPr>
        <w:t xml:space="preserve"> consistent LBT failure handling </w:t>
      </w:r>
      <w:r w:rsidR="005B1D21">
        <w:rPr>
          <w:rFonts w:ascii="Arial" w:hAnsi="Arial" w:cs="Arial"/>
          <w:sz w:val="20"/>
          <w:szCs w:val="20"/>
          <w:lang w:val="en-US"/>
        </w:rPr>
        <w:t xml:space="preserve">would not be helpful for a UE. In addition, consistent LBT failure procedure will need to be improved in case the UE is configured with both LBT and no-LBT operation, which leads additional design efforts for RAN2.  Therefore, given limited time for RAN2 in Rel-17, it is unnecessary for RAN2 to spend efforts to improve an unimportant feature, rather RAN2 </w:t>
      </w:r>
      <w:r w:rsidR="003323D5">
        <w:rPr>
          <w:rFonts w:ascii="Arial" w:hAnsi="Arial" w:cs="Arial"/>
          <w:sz w:val="20"/>
          <w:szCs w:val="20"/>
          <w:lang w:val="en-US"/>
        </w:rPr>
        <w:t xml:space="preserve">should </w:t>
      </w:r>
      <w:r w:rsidR="005B1D21" w:rsidRPr="003C00CB">
        <w:rPr>
          <w:rFonts w:ascii="Arial" w:hAnsi="Arial" w:cs="Arial"/>
          <w:sz w:val="20"/>
          <w:szCs w:val="20"/>
          <w:lang w:val="en-US"/>
        </w:rPr>
        <w:t>prioritize protocol support of RAN1</w:t>
      </w:r>
      <w:r w:rsidR="005B1D21">
        <w:rPr>
          <w:rFonts w:ascii="Arial" w:hAnsi="Arial" w:cs="Arial"/>
          <w:sz w:val="20"/>
          <w:szCs w:val="20"/>
          <w:lang w:val="en-US"/>
        </w:rPr>
        <w:t xml:space="preserve"> design</w:t>
      </w:r>
      <w:r w:rsidR="00F75AF3">
        <w:rPr>
          <w:rFonts w:ascii="Arial" w:hAnsi="Arial" w:cs="Arial"/>
          <w:sz w:val="20"/>
          <w:szCs w:val="20"/>
          <w:lang w:val="en-US"/>
        </w:rPr>
        <w:t xml:space="preserve"> as defined in the WID</w:t>
      </w:r>
      <w:r w:rsidR="005B1D21">
        <w:rPr>
          <w:rFonts w:ascii="Arial" w:hAnsi="Arial" w:cs="Arial"/>
          <w:sz w:val="20"/>
          <w:szCs w:val="20"/>
          <w:lang w:val="en-US"/>
        </w:rPr>
        <w:t xml:space="preserve">. Based on the above analyses, we therefore propose to down-prioritize </w:t>
      </w:r>
      <w:r w:rsidR="001C3DDE">
        <w:rPr>
          <w:rFonts w:ascii="Arial" w:hAnsi="Arial" w:cs="Arial"/>
          <w:sz w:val="20"/>
          <w:szCs w:val="20"/>
          <w:lang w:val="en-US"/>
        </w:rPr>
        <w:t xml:space="preserve">optimization of </w:t>
      </w:r>
      <w:r w:rsidR="005B1D21">
        <w:rPr>
          <w:rFonts w:ascii="Arial" w:hAnsi="Arial" w:cs="Arial"/>
          <w:sz w:val="20"/>
          <w:szCs w:val="20"/>
          <w:lang w:val="en-US"/>
        </w:rPr>
        <w:t>consistent LBT failure handling for NR 71 GHz in Rel.17.</w:t>
      </w:r>
    </w:p>
    <w:p w14:paraId="73A511C5" w14:textId="44F497E9" w:rsidR="00A02E61" w:rsidRPr="00CA0D1F" w:rsidRDefault="00A02E61" w:rsidP="00A02E61">
      <w:pPr>
        <w:pStyle w:val="Observation"/>
      </w:pPr>
      <w:bookmarkStart w:id="12" w:name="_Toc92797043"/>
      <w:r w:rsidRPr="005B1D21">
        <w:rPr>
          <w:rFonts w:cs="Arial"/>
          <w:lang w:val="en-US"/>
        </w:rPr>
        <w:t xml:space="preserve">For NR 71 GHz, </w:t>
      </w:r>
      <w:r w:rsidRPr="003C00CB">
        <w:rPr>
          <w:rFonts w:cs="Arial"/>
          <w:lang w:val="en-US"/>
        </w:rPr>
        <w:t>LBT failure is rare or even nonexistent</w:t>
      </w:r>
      <w:r>
        <w:rPr>
          <w:rFonts w:cs="Arial"/>
          <w:lang w:val="en-US"/>
        </w:rPr>
        <w:t xml:space="preserve"> given </w:t>
      </w:r>
      <w:r w:rsidRPr="003C00CB">
        <w:rPr>
          <w:rFonts w:cs="Arial"/>
          <w:lang w:val="en-US"/>
        </w:rPr>
        <w:t>the fact that the inherent use of narrow beams and the large path loss significantly reduces the probability of interference</w:t>
      </w:r>
      <w:r>
        <w:rPr>
          <w:rFonts w:cs="Arial"/>
        </w:rPr>
        <w:t>.</w:t>
      </w:r>
      <w:bookmarkEnd w:id="12"/>
      <w:r>
        <w:rPr>
          <w:rFonts w:cs="Arial"/>
        </w:rPr>
        <w:t xml:space="preserve"> </w:t>
      </w:r>
    </w:p>
    <w:p w14:paraId="438E6154" w14:textId="0B2DED8A" w:rsidR="00CA0D1F" w:rsidRPr="001B1247" w:rsidRDefault="00CA0D1F" w:rsidP="00CA0D1F">
      <w:pPr>
        <w:pStyle w:val="Observation"/>
      </w:pPr>
      <w:bookmarkStart w:id="13" w:name="_Toc92797044"/>
      <w:r>
        <w:rPr>
          <w:rFonts w:cs="Arial"/>
          <w:lang w:val="en-US"/>
        </w:rPr>
        <w:t xml:space="preserve">Given limited time for RAN2 in Rel-17, it is unnecessary for RAN2 to spend efforts to improve an unimportant feature, rather RAN2 shall </w:t>
      </w:r>
      <w:r w:rsidRPr="003C00CB">
        <w:rPr>
          <w:rFonts w:cs="Arial"/>
          <w:lang w:val="en-US" w:eastAsia="zh-CN"/>
        </w:rPr>
        <w:t>prioritize protocol support of RAN1</w:t>
      </w:r>
      <w:r>
        <w:rPr>
          <w:rFonts w:cs="Arial"/>
          <w:lang w:val="en-US"/>
        </w:rPr>
        <w:t xml:space="preserve"> design</w:t>
      </w:r>
      <w:r>
        <w:rPr>
          <w:rFonts w:cs="Arial"/>
        </w:rPr>
        <w:t>.</w:t>
      </w:r>
      <w:bookmarkEnd w:id="13"/>
      <w:r>
        <w:rPr>
          <w:rFonts w:cs="Arial"/>
        </w:rPr>
        <w:t xml:space="preserve"> </w:t>
      </w:r>
    </w:p>
    <w:p w14:paraId="73C5CCE1" w14:textId="77777777" w:rsidR="00A02E61" w:rsidRPr="003B0815" w:rsidRDefault="00A02E61" w:rsidP="00E7649E">
      <w:pPr>
        <w:pStyle w:val="paragraph"/>
        <w:jc w:val="both"/>
        <w:textAlignment w:val="baseline"/>
        <w:rPr>
          <w:rFonts w:ascii="Arial" w:hAnsi="Arial" w:cs="Arial"/>
          <w:sz w:val="20"/>
          <w:szCs w:val="20"/>
          <w:lang w:val="en-GB"/>
        </w:rPr>
      </w:pPr>
    </w:p>
    <w:p w14:paraId="5E2796C7" w14:textId="4BEAF005" w:rsidR="005B1D21" w:rsidRDefault="005B1D21" w:rsidP="005B1D21">
      <w:pPr>
        <w:pStyle w:val="Proposal"/>
      </w:pPr>
      <w:bookmarkStart w:id="14" w:name="_Toc92797048"/>
      <w:r>
        <w:rPr>
          <w:rFonts w:cs="Arial"/>
        </w:rPr>
        <w:t xml:space="preserve">RAN2 to down-prioritize </w:t>
      </w:r>
      <w:r w:rsidR="001D5DCE">
        <w:rPr>
          <w:rFonts w:cs="Arial"/>
        </w:rPr>
        <w:t xml:space="preserve">optimization </w:t>
      </w:r>
      <w:r>
        <w:rPr>
          <w:rFonts w:cs="Arial"/>
        </w:rPr>
        <w:t>of consistent LBT failure handling for NR operation with 71 GHz in Rel-17</w:t>
      </w:r>
      <w:r w:rsidRPr="0013140C">
        <w:t>.</w:t>
      </w:r>
      <w:bookmarkEnd w:id="14"/>
    </w:p>
    <w:p w14:paraId="4E0F5851" w14:textId="77777777" w:rsidR="005B1D21" w:rsidRPr="003C00CB" w:rsidRDefault="005B1D21" w:rsidP="00E7649E">
      <w:pPr>
        <w:pStyle w:val="paragraph"/>
        <w:jc w:val="both"/>
        <w:textAlignment w:val="baseline"/>
        <w:rPr>
          <w:rFonts w:ascii="Arial" w:hAnsi="Arial" w:cs="Arial"/>
          <w:sz w:val="20"/>
          <w:szCs w:val="20"/>
          <w:lang w:val="en-GB"/>
        </w:rPr>
      </w:pPr>
    </w:p>
    <w:p w14:paraId="0CF6040A" w14:textId="04F54237" w:rsidR="00064E39" w:rsidRPr="00CE0424" w:rsidRDefault="00E97523" w:rsidP="00064E39">
      <w:pPr>
        <w:pStyle w:val="Heading1"/>
      </w:pPr>
      <w:bookmarkStart w:id="15" w:name="_Toc70424553"/>
      <w:bookmarkStart w:id="16" w:name="_Ref189046994"/>
      <w:bookmarkEnd w:id="15"/>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288E297A" w14:textId="3CB4FE0E" w:rsidR="006C4D51"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92797038" w:history="1">
        <w:r w:rsidR="006C4D51" w:rsidRPr="00E12235">
          <w:rPr>
            <w:rStyle w:val="Hyperlink"/>
            <w:noProof/>
          </w:rPr>
          <w:t>Observation 1</w:t>
        </w:r>
        <w:r w:rsidR="006C4D51">
          <w:rPr>
            <w:rFonts w:asciiTheme="minorHAnsi" w:eastAsiaTheme="minorEastAsia" w:hAnsiTheme="minorHAnsi" w:cstheme="minorBidi"/>
            <w:b w:val="0"/>
            <w:noProof/>
            <w:sz w:val="22"/>
            <w:szCs w:val="22"/>
            <w:lang w:val="sv-SE"/>
          </w:rPr>
          <w:tab/>
        </w:r>
        <w:r w:rsidR="006C4D51" w:rsidRPr="00E12235">
          <w:rPr>
            <w:rStyle w:val="Hyperlink"/>
            <w:noProof/>
          </w:rPr>
          <w:t xml:space="preserve">The </w:t>
        </w:r>
        <w:r w:rsidR="006C4D51" w:rsidRPr="00E12235">
          <w:rPr>
            <w:rStyle w:val="Hyperlink"/>
            <w:rFonts w:cs="Arial"/>
            <w:noProof/>
          </w:rPr>
          <w:t>RLC configuration is per logical channel (LCH), which is already able to give sufficient configuration granularity for RLC.</w:t>
        </w:r>
      </w:hyperlink>
    </w:p>
    <w:p w14:paraId="70D9F9E5" w14:textId="73202E49" w:rsidR="006C4D51" w:rsidRDefault="006C4D51">
      <w:pPr>
        <w:pStyle w:val="TableofFigures"/>
        <w:tabs>
          <w:tab w:val="right" w:leader="dot" w:pos="9629"/>
        </w:tabs>
        <w:rPr>
          <w:rFonts w:asciiTheme="minorHAnsi" w:eastAsiaTheme="minorEastAsia" w:hAnsiTheme="minorHAnsi" w:cstheme="minorBidi"/>
          <w:b w:val="0"/>
          <w:noProof/>
          <w:sz w:val="22"/>
          <w:szCs w:val="22"/>
          <w:lang w:val="sv-SE"/>
        </w:rPr>
      </w:pPr>
      <w:hyperlink w:anchor="_Toc92797039" w:history="1">
        <w:r w:rsidRPr="00E12235">
          <w:rPr>
            <w:rStyle w:val="Hyperlink"/>
            <w:noProof/>
          </w:rPr>
          <w:t>Observation 2</w:t>
        </w:r>
        <w:r>
          <w:rPr>
            <w:rFonts w:asciiTheme="minorHAnsi" w:eastAsiaTheme="minorEastAsia" w:hAnsiTheme="minorHAnsi" w:cstheme="minorBidi"/>
            <w:b w:val="0"/>
            <w:noProof/>
            <w:sz w:val="22"/>
            <w:szCs w:val="22"/>
            <w:lang w:val="sv-SE"/>
          </w:rPr>
          <w:tab/>
        </w:r>
        <w:r w:rsidRPr="00E12235">
          <w:rPr>
            <w:rStyle w:val="Hyperlink"/>
            <w:noProof/>
          </w:rPr>
          <w:t>The existing LCP procedure at UE already provides a feasible procedure for mapping uplink services/LCHs to different serving cells</w:t>
        </w:r>
        <w:r w:rsidRPr="00E12235">
          <w:rPr>
            <w:rStyle w:val="Hyperlink"/>
            <w:rFonts w:cs="Arial"/>
            <w:noProof/>
          </w:rPr>
          <w:t>.</w:t>
        </w:r>
      </w:hyperlink>
    </w:p>
    <w:p w14:paraId="7554B874" w14:textId="755C3F7D" w:rsidR="006C4D51" w:rsidRDefault="006C4D51">
      <w:pPr>
        <w:pStyle w:val="TableofFigures"/>
        <w:tabs>
          <w:tab w:val="right" w:leader="dot" w:pos="9629"/>
        </w:tabs>
        <w:rPr>
          <w:rFonts w:asciiTheme="minorHAnsi" w:eastAsiaTheme="minorEastAsia" w:hAnsiTheme="minorHAnsi" w:cstheme="minorBidi"/>
          <w:b w:val="0"/>
          <w:noProof/>
          <w:sz w:val="22"/>
          <w:szCs w:val="22"/>
          <w:lang w:val="sv-SE"/>
        </w:rPr>
      </w:pPr>
      <w:hyperlink w:anchor="_Toc92797040" w:history="1">
        <w:r w:rsidRPr="00E12235">
          <w:rPr>
            <w:rStyle w:val="Hyperlink"/>
            <w:noProof/>
          </w:rPr>
          <w:t>Observation 3</w:t>
        </w:r>
        <w:r>
          <w:rPr>
            <w:rFonts w:asciiTheme="minorHAnsi" w:eastAsiaTheme="minorEastAsia" w:hAnsiTheme="minorHAnsi" w:cstheme="minorBidi"/>
            <w:b w:val="0"/>
            <w:noProof/>
            <w:sz w:val="22"/>
            <w:szCs w:val="22"/>
            <w:lang w:val="sv-SE"/>
          </w:rPr>
          <w:tab/>
        </w:r>
        <w:r w:rsidRPr="00E12235">
          <w:rPr>
            <w:rStyle w:val="Hyperlink"/>
            <w:rFonts w:cs="Arial"/>
            <w:noProof/>
          </w:rPr>
          <w:t>It is up to gNB implementation to map different downlink LCHs towards the same UE to different serving cells.</w:t>
        </w:r>
      </w:hyperlink>
    </w:p>
    <w:p w14:paraId="4E353A7E" w14:textId="6D6912AD" w:rsidR="006C4D51" w:rsidRDefault="006C4D51">
      <w:pPr>
        <w:pStyle w:val="TableofFigures"/>
        <w:tabs>
          <w:tab w:val="right" w:leader="dot" w:pos="9629"/>
        </w:tabs>
        <w:rPr>
          <w:rFonts w:asciiTheme="minorHAnsi" w:eastAsiaTheme="minorEastAsia" w:hAnsiTheme="minorHAnsi" w:cstheme="minorBidi"/>
          <w:b w:val="0"/>
          <w:noProof/>
          <w:sz w:val="22"/>
          <w:szCs w:val="22"/>
          <w:lang w:val="sv-SE"/>
        </w:rPr>
      </w:pPr>
      <w:hyperlink w:anchor="_Toc92797041" w:history="1">
        <w:r w:rsidRPr="00E12235">
          <w:rPr>
            <w:rStyle w:val="Hyperlink"/>
            <w:noProof/>
          </w:rPr>
          <w:t>Observation 4</w:t>
        </w:r>
        <w:r>
          <w:rPr>
            <w:rFonts w:asciiTheme="minorHAnsi" w:eastAsiaTheme="minorEastAsia" w:hAnsiTheme="minorHAnsi" w:cstheme="minorBidi"/>
            <w:b w:val="0"/>
            <w:noProof/>
            <w:sz w:val="22"/>
            <w:szCs w:val="22"/>
            <w:lang w:val="sv-SE"/>
          </w:rPr>
          <w:tab/>
        </w:r>
        <w:r w:rsidRPr="00E12235">
          <w:rPr>
            <w:rStyle w:val="Hyperlink"/>
            <w:rFonts w:cs="Arial"/>
            <w:noProof/>
          </w:rPr>
          <w:t>The parameters and timers in the RLC configuration of each logical channel can be chosen by the gNB to fit the properties of its underlying serving cell.</w:t>
        </w:r>
      </w:hyperlink>
    </w:p>
    <w:p w14:paraId="6B11D374" w14:textId="2729FF79" w:rsidR="006C4D51" w:rsidRDefault="006C4D51">
      <w:pPr>
        <w:pStyle w:val="TableofFigures"/>
        <w:tabs>
          <w:tab w:val="right" w:leader="dot" w:pos="9629"/>
        </w:tabs>
        <w:rPr>
          <w:rFonts w:asciiTheme="minorHAnsi" w:eastAsiaTheme="minorEastAsia" w:hAnsiTheme="minorHAnsi" w:cstheme="minorBidi"/>
          <w:b w:val="0"/>
          <w:noProof/>
          <w:sz w:val="22"/>
          <w:szCs w:val="22"/>
          <w:lang w:val="sv-SE"/>
        </w:rPr>
      </w:pPr>
      <w:hyperlink w:anchor="_Toc92797042" w:history="1">
        <w:r w:rsidRPr="00E12235">
          <w:rPr>
            <w:rStyle w:val="Hyperlink"/>
            <w:noProof/>
          </w:rPr>
          <w:t>Observation 5</w:t>
        </w:r>
        <w:r>
          <w:rPr>
            <w:rFonts w:asciiTheme="minorHAnsi" w:eastAsiaTheme="minorEastAsia" w:hAnsiTheme="minorHAnsi" w:cstheme="minorBidi"/>
            <w:b w:val="0"/>
            <w:noProof/>
            <w:sz w:val="22"/>
            <w:szCs w:val="22"/>
            <w:lang w:val="sv-SE"/>
          </w:rPr>
          <w:tab/>
        </w:r>
        <w:r w:rsidRPr="00E12235">
          <w:rPr>
            <w:rStyle w:val="Hyperlink"/>
            <w:rFonts w:cs="Arial"/>
            <w:noProof/>
          </w:rPr>
          <w:t xml:space="preserve">As indicated in the RAN1 LS, </w:t>
        </w:r>
        <w:r w:rsidRPr="00E12235">
          <w:rPr>
            <w:rStyle w:val="Hyperlink"/>
            <w:rFonts w:eastAsia="DengXian" w:cs="Arial"/>
            <w:noProof/>
            <w:lang w:eastAsia="ko-KR"/>
          </w:rPr>
          <w:t>similar to Rel</w:t>
        </w:r>
        <w:r w:rsidRPr="00E12235">
          <w:rPr>
            <w:rStyle w:val="Hyperlink"/>
            <w:rFonts w:eastAsia="DengXian" w:cs="Arial"/>
            <w:noProof/>
            <w:lang w:eastAsia="ko-KR"/>
          </w:rPr>
          <w:noBreakHyphen/>
          <w:t>15/16, a maximum of one PRACH slot can occur within the duration of a 120 kHz slot,</w:t>
        </w:r>
        <w:r w:rsidRPr="00E12235">
          <w:rPr>
            <w:rStyle w:val="Hyperlink"/>
            <w:rFonts w:cs="Arial"/>
            <w:noProof/>
          </w:rPr>
          <w:t xml:space="preserve"> the expression for computing RA-RNTI in Rel</w:t>
        </w:r>
        <w:r w:rsidRPr="00E12235">
          <w:rPr>
            <w:rStyle w:val="Hyperlink"/>
            <w:rFonts w:cs="Arial"/>
            <w:noProof/>
          </w:rPr>
          <w:noBreakHyphen/>
          <w:t>15/16 can be directly reused, with the additional statement that for PRACH subcarrier spacings 480/960 kHz, t_id should be calculated based on a subcarrier spacing of 120 kHz.</w:t>
        </w:r>
      </w:hyperlink>
    </w:p>
    <w:p w14:paraId="25EA079F" w14:textId="0C28009E" w:rsidR="006C4D51" w:rsidRDefault="006C4D51">
      <w:pPr>
        <w:pStyle w:val="TableofFigures"/>
        <w:tabs>
          <w:tab w:val="right" w:leader="dot" w:pos="9629"/>
        </w:tabs>
        <w:rPr>
          <w:rFonts w:asciiTheme="minorHAnsi" w:eastAsiaTheme="minorEastAsia" w:hAnsiTheme="minorHAnsi" w:cstheme="minorBidi"/>
          <w:b w:val="0"/>
          <w:noProof/>
          <w:sz w:val="22"/>
          <w:szCs w:val="22"/>
          <w:lang w:val="sv-SE"/>
        </w:rPr>
      </w:pPr>
      <w:hyperlink w:anchor="_Toc92797043" w:history="1">
        <w:r w:rsidRPr="00E12235">
          <w:rPr>
            <w:rStyle w:val="Hyperlink"/>
            <w:noProof/>
          </w:rPr>
          <w:t>Observation 6</w:t>
        </w:r>
        <w:r>
          <w:rPr>
            <w:rFonts w:asciiTheme="minorHAnsi" w:eastAsiaTheme="minorEastAsia" w:hAnsiTheme="minorHAnsi" w:cstheme="minorBidi"/>
            <w:b w:val="0"/>
            <w:noProof/>
            <w:sz w:val="22"/>
            <w:szCs w:val="22"/>
            <w:lang w:val="sv-SE"/>
          </w:rPr>
          <w:tab/>
        </w:r>
        <w:r w:rsidRPr="00E12235">
          <w:rPr>
            <w:rStyle w:val="Hyperlink"/>
            <w:rFonts w:cs="Arial"/>
            <w:noProof/>
            <w:lang w:val="en-US"/>
          </w:rPr>
          <w:t>For NR 71 GHz, LBT failure is rare or even nonexistent given the fact that the inherent use of narrow beams and the large path loss significantly reduces the probability of interference</w:t>
        </w:r>
        <w:r w:rsidRPr="00E12235">
          <w:rPr>
            <w:rStyle w:val="Hyperlink"/>
            <w:rFonts w:cs="Arial"/>
            <w:noProof/>
          </w:rPr>
          <w:t>.</w:t>
        </w:r>
      </w:hyperlink>
    </w:p>
    <w:p w14:paraId="1E33299E" w14:textId="7420DF9C" w:rsidR="006C4D51" w:rsidRDefault="006C4D51">
      <w:pPr>
        <w:pStyle w:val="TableofFigures"/>
        <w:tabs>
          <w:tab w:val="right" w:leader="dot" w:pos="9629"/>
        </w:tabs>
        <w:rPr>
          <w:rFonts w:asciiTheme="minorHAnsi" w:eastAsiaTheme="minorEastAsia" w:hAnsiTheme="minorHAnsi" w:cstheme="minorBidi"/>
          <w:b w:val="0"/>
          <w:noProof/>
          <w:sz w:val="22"/>
          <w:szCs w:val="22"/>
          <w:lang w:val="sv-SE"/>
        </w:rPr>
      </w:pPr>
      <w:hyperlink w:anchor="_Toc92797044" w:history="1">
        <w:r w:rsidRPr="00E12235">
          <w:rPr>
            <w:rStyle w:val="Hyperlink"/>
            <w:noProof/>
          </w:rPr>
          <w:t>Observation 7</w:t>
        </w:r>
        <w:r>
          <w:rPr>
            <w:rFonts w:asciiTheme="minorHAnsi" w:eastAsiaTheme="minorEastAsia" w:hAnsiTheme="minorHAnsi" w:cstheme="minorBidi"/>
            <w:b w:val="0"/>
            <w:noProof/>
            <w:sz w:val="22"/>
            <w:szCs w:val="22"/>
            <w:lang w:val="sv-SE"/>
          </w:rPr>
          <w:tab/>
        </w:r>
        <w:r w:rsidRPr="00E12235">
          <w:rPr>
            <w:rStyle w:val="Hyperlink"/>
            <w:rFonts w:cs="Arial"/>
            <w:noProof/>
            <w:lang w:val="en-US"/>
          </w:rPr>
          <w:t>Given limited time for RAN2 in Rel-17, it is unnecessary for RAN2 to spend efforts to improve an unimportant feature, rather RAN2 shall prioritize protocol support of RAN1 design</w:t>
        </w:r>
        <w:r w:rsidRPr="00E12235">
          <w:rPr>
            <w:rStyle w:val="Hyperlink"/>
            <w:rFonts w:cs="Arial"/>
            <w:noProof/>
          </w:rPr>
          <w:t>.</w:t>
        </w:r>
      </w:hyperlink>
    </w:p>
    <w:p w14:paraId="7DC46F5D" w14:textId="1CD6CE33"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1C257557" w14:textId="6E9B73A5" w:rsidR="006C4D51"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97045" w:history="1">
        <w:r w:rsidR="006C4D51" w:rsidRPr="008F1773">
          <w:rPr>
            <w:rStyle w:val="Hyperlink"/>
            <w:noProof/>
          </w:rPr>
          <w:t>Proposal 1</w:t>
        </w:r>
        <w:r w:rsidR="006C4D51">
          <w:rPr>
            <w:rFonts w:asciiTheme="minorHAnsi" w:eastAsiaTheme="minorEastAsia" w:hAnsiTheme="minorHAnsi" w:cstheme="minorBidi"/>
            <w:b w:val="0"/>
            <w:noProof/>
            <w:sz w:val="22"/>
            <w:szCs w:val="22"/>
            <w:lang w:val="sv-SE"/>
          </w:rPr>
          <w:tab/>
        </w:r>
        <w:r w:rsidR="006C4D51" w:rsidRPr="008F1773">
          <w:rPr>
            <w:rStyle w:val="Hyperlink"/>
            <w:noProof/>
          </w:rPr>
          <w:t>For CA operation in 71 GHz using higher SCS (i.e., 480 kHz and 960 kHz), no spec impact is foreseen for handling RLC feedback.</w:t>
        </w:r>
      </w:hyperlink>
    </w:p>
    <w:p w14:paraId="64135E13" w14:textId="76DF0239" w:rsidR="006C4D51" w:rsidRDefault="006C4D51">
      <w:pPr>
        <w:pStyle w:val="TableofFigures"/>
        <w:tabs>
          <w:tab w:val="right" w:leader="dot" w:pos="9629"/>
        </w:tabs>
        <w:rPr>
          <w:rFonts w:asciiTheme="minorHAnsi" w:eastAsiaTheme="minorEastAsia" w:hAnsiTheme="minorHAnsi" w:cstheme="minorBidi"/>
          <w:b w:val="0"/>
          <w:noProof/>
          <w:sz w:val="22"/>
          <w:szCs w:val="22"/>
          <w:lang w:val="sv-SE"/>
        </w:rPr>
      </w:pPr>
      <w:hyperlink w:anchor="_Toc92797046" w:history="1">
        <w:r w:rsidRPr="008F1773">
          <w:rPr>
            <w:rStyle w:val="Hyperlink"/>
            <w:noProof/>
          </w:rPr>
          <w:t>Proposal 2</w:t>
        </w:r>
        <w:r>
          <w:rPr>
            <w:rFonts w:asciiTheme="minorHAnsi" w:eastAsiaTheme="minorEastAsia" w:hAnsiTheme="minorHAnsi" w:cstheme="minorBidi"/>
            <w:b w:val="0"/>
            <w:noProof/>
            <w:sz w:val="22"/>
            <w:szCs w:val="22"/>
            <w:lang w:val="sv-SE"/>
          </w:rPr>
          <w:tab/>
        </w:r>
        <w:r w:rsidRPr="008F1773">
          <w:rPr>
            <w:rStyle w:val="Hyperlink"/>
            <w:noProof/>
          </w:rPr>
          <w:t>For NR operation in 71 GHz, no new UE capability and scaling factor is needed for indicating L2 buffer size requirement of the UE.</w:t>
        </w:r>
      </w:hyperlink>
    </w:p>
    <w:p w14:paraId="560CE614" w14:textId="1973AE9A" w:rsidR="006C4D51" w:rsidRDefault="006C4D51">
      <w:pPr>
        <w:pStyle w:val="TableofFigures"/>
        <w:tabs>
          <w:tab w:val="right" w:leader="dot" w:pos="9629"/>
        </w:tabs>
        <w:rPr>
          <w:rFonts w:asciiTheme="minorHAnsi" w:eastAsiaTheme="minorEastAsia" w:hAnsiTheme="minorHAnsi" w:cstheme="minorBidi"/>
          <w:b w:val="0"/>
          <w:noProof/>
          <w:sz w:val="22"/>
          <w:szCs w:val="22"/>
          <w:lang w:val="sv-SE"/>
        </w:rPr>
      </w:pPr>
      <w:hyperlink w:anchor="_Toc92797047" w:history="1">
        <w:r w:rsidRPr="008F1773">
          <w:rPr>
            <w:rStyle w:val="Hyperlink"/>
            <w:noProof/>
          </w:rPr>
          <w:t>Proposal 3</w:t>
        </w:r>
        <w:r>
          <w:rPr>
            <w:rFonts w:asciiTheme="minorHAnsi" w:eastAsiaTheme="minorEastAsia" w:hAnsiTheme="minorHAnsi" w:cstheme="minorBidi"/>
            <w:b w:val="0"/>
            <w:noProof/>
            <w:sz w:val="22"/>
            <w:szCs w:val="22"/>
            <w:lang w:val="sv-SE"/>
          </w:rPr>
          <w:tab/>
        </w:r>
        <w:r w:rsidRPr="008F1773">
          <w:rPr>
            <w:rStyle w:val="Hyperlink"/>
            <w:rFonts w:cs="Arial"/>
            <w:noProof/>
          </w:rPr>
          <w:t>For 480/960 kHz PRACH, according to RAN1 agreement, RAN2 confirms to reuse the RA-RNTI expressions from Rel-15/16, with the additional statement that for 480/960 kHz PRACH, t_id should be determined based on a subcarrier spacing of 120 kHz</w:t>
        </w:r>
        <w:r w:rsidRPr="008F1773">
          <w:rPr>
            <w:rStyle w:val="Hyperlink"/>
            <w:noProof/>
          </w:rPr>
          <w:t>.</w:t>
        </w:r>
      </w:hyperlink>
    </w:p>
    <w:p w14:paraId="47E36BAD" w14:textId="7E2070AF" w:rsidR="006C4D51" w:rsidRDefault="006C4D51">
      <w:pPr>
        <w:pStyle w:val="TableofFigures"/>
        <w:tabs>
          <w:tab w:val="right" w:leader="dot" w:pos="9629"/>
        </w:tabs>
        <w:rPr>
          <w:rFonts w:asciiTheme="minorHAnsi" w:eastAsiaTheme="minorEastAsia" w:hAnsiTheme="minorHAnsi" w:cstheme="minorBidi"/>
          <w:b w:val="0"/>
          <w:noProof/>
          <w:sz w:val="22"/>
          <w:szCs w:val="22"/>
          <w:lang w:val="sv-SE"/>
        </w:rPr>
      </w:pPr>
      <w:hyperlink w:anchor="_Toc92797048" w:history="1">
        <w:r w:rsidRPr="008F1773">
          <w:rPr>
            <w:rStyle w:val="Hyperlink"/>
            <w:noProof/>
          </w:rPr>
          <w:t>Proposal 4</w:t>
        </w:r>
        <w:r>
          <w:rPr>
            <w:rFonts w:asciiTheme="minorHAnsi" w:eastAsiaTheme="minorEastAsia" w:hAnsiTheme="minorHAnsi" w:cstheme="minorBidi"/>
            <w:b w:val="0"/>
            <w:noProof/>
            <w:sz w:val="22"/>
            <w:szCs w:val="22"/>
            <w:lang w:val="sv-SE"/>
          </w:rPr>
          <w:tab/>
        </w:r>
        <w:r w:rsidRPr="008F1773">
          <w:rPr>
            <w:rStyle w:val="Hyperlink"/>
            <w:rFonts w:cs="Arial"/>
            <w:noProof/>
          </w:rPr>
          <w:t>RAN2 to down-prioritize optimization of consistent LBT failure handling for NR operation with 71 GHz in Rel-17</w:t>
        </w:r>
        <w:r w:rsidRPr="008F1773">
          <w:rPr>
            <w:rStyle w:val="Hyperlink"/>
            <w:noProof/>
          </w:rPr>
          <w:t>.</w:t>
        </w:r>
      </w:hyperlink>
    </w:p>
    <w:p w14:paraId="6AB824BA" w14:textId="21A495E9"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16"/>
    <w:p w14:paraId="59DCC8E3" w14:textId="7A1CEFA6" w:rsidR="00216006" w:rsidRPr="006B35C3" w:rsidRDefault="00216006" w:rsidP="00216006">
      <w:pPr>
        <w:pStyle w:val="ListParagraph"/>
        <w:widowControl w:val="0"/>
        <w:numPr>
          <w:ilvl w:val="0"/>
          <w:numId w:val="36"/>
        </w:numPr>
        <w:spacing w:before="156" w:after="120"/>
        <w:contextualSpacing/>
        <w:jc w:val="both"/>
        <w:textAlignment w:val="auto"/>
        <w:rPr>
          <w:rFonts w:ascii="Arial" w:hAnsi="Arial" w:cs="Arial"/>
          <w:bCs/>
          <w:sz w:val="20"/>
          <w:szCs w:val="20"/>
          <w:lang w:val="en-GB"/>
        </w:rPr>
      </w:pPr>
      <w:r w:rsidRPr="006B35C3">
        <w:rPr>
          <w:rFonts w:ascii="Arial" w:hAnsi="Arial" w:cs="Arial"/>
          <w:bCs/>
          <w:noProof/>
          <w:sz w:val="20"/>
          <w:szCs w:val="20"/>
        </w:rPr>
        <w:t>RP-21</w:t>
      </w:r>
      <w:r w:rsidRPr="006B35C3">
        <w:rPr>
          <w:rFonts w:ascii="Arial" w:hAnsi="Arial" w:cs="Arial"/>
          <w:bCs/>
          <w:noProof/>
          <w:sz w:val="20"/>
          <w:szCs w:val="20"/>
          <w:lang w:eastAsia="zh-CN"/>
        </w:rPr>
        <w:t>1584</w:t>
      </w:r>
      <w:r w:rsidRPr="006B35C3">
        <w:rPr>
          <w:rFonts w:ascii="Arial" w:hAnsi="Arial" w:cs="Arial"/>
          <w:bCs/>
          <w:sz w:val="20"/>
          <w:szCs w:val="20"/>
        </w:rPr>
        <w:t xml:space="preserve">, </w:t>
      </w:r>
      <w:r w:rsidRPr="006B35C3">
        <w:rPr>
          <w:rFonts w:ascii="Arial" w:eastAsia="Batang" w:hAnsi="Arial" w:cs="Arial"/>
          <w:bCs/>
          <w:sz w:val="20"/>
          <w:szCs w:val="20"/>
          <w:lang w:eastAsia="zh-CN"/>
        </w:rPr>
        <w:t>Revised WID:  Extending current NR operation to 71 GHz</w:t>
      </w:r>
      <w:r w:rsidRPr="006B35C3">
        <w:rPr>
          <w:rFonts w:ascii="Arial" w:hAnsi="Arial" w:cs="Arial"/>
          <w:bCs/>
          <w:sz w:val="20"/>
          <w:szCs w:val="20"/>
        </w:rPr>
        <w:t>, RAN #9</w:t>
      </w:r>
      <w:r w:rsidRPr="006B35C3">
        <w:rPr>
          <w:rFonts w:ascii="Arial" w:hAnsi="Arial" w:cs="Arial"/>
          <w:bCs/>
          <w:sz w:val="20"/>
          <w:szCs w:val="20"/>
          <w:lang w:val="en-US"/>
        </w:rPr>
        <w:t>2</w:t>
      </w:r>
      <w:r w:rsidRPr="006B35C3">
        <w:rPr>
          <w:rFonts w:ascii="Arial" w:hAnsi="Arial" w:cs="Arial"/>
          <w:bCs/>
          <w:sz w:val="20"/>
          <w:szCs w:val="20"/>
        </w:rPr>
        <w:t xml:space="preserve">e, </w:t>
      </w:r>
      <w:r w:rsidRPr="006B35C3">
        <w:rPr>
          <w:rFonts w:ascii="Arial" w:hAnsi="Arial" w:cs="Arial"/>
          <w:bCs/>
          <w:sz w:val="20"/>
          <w:szCs w:val="20"/>
          <w:lang w:val="en-US"/>
        </w:rPr>
        <w:t>June</w:t>
      </w:r>
      <w:r w:rsidRPr="006B35C3">
        <w:rPr>
          <w:rFonts w:ascii="Arial" w:hAnsi="Arial" w:cs="Arial"/>
          <w:bCs/>
          <w:sz w:val="20"/>
          <w:szCs w:val="20"/>
        </w:rPr>
        <w:t xml:space="preserve"> </w:t>
      </w:r>
      <w:r w:rsidRPr="006B35C3">
        <w:rPr>
          <w:rFonts w:ascii="Arial" w:hAnsi="Arial" w:cs="Arial"/>
          <w:bCs/>
          <w:sz w:val="20"/>
          <w:szCs w:val="20"/>
          <w:lang w:val="en-US"/>
        </w:rPr>
        <w:t>14</w:t>
      </w:r>
      <w:r w:rsidRPr="006B35C3">
        <w:rPr>
          <w:rFonts w:ascii="Arial" w:hAnsi="Arial" w:cs="Arial"/>
          <w:bCs/>
          <w:sz w:val="20"/>
          <w:szCs w:val="20"/>
        </w:rPr>
        <w:t xml:space="preserve">- </w:t>
      </w:r>
      <w:r w:rsidRPr="006B35C3">
        <w:rPr>
          <w:rFonts w:ascii="Arial" w:hAnsi="Arial" w:cs="Arial"/>
          <w:bCs/>
          <w:sz w:val="20"/>
          <w:szCs w:val="20"/>
          <w:lang w:val="en-US"/>
        </w:rPr>
        <w:t>June</w:t>
      </w:r>
      <w:r w:rsidRPr="006B35C3">
        <w:rPr>
          <w:rFonts w:ascii="Arial" w:hAnsi="Arial" w:cs="Arial"/>
          <w:bCs/>
          <w:sz w:val="20"/>
          <w:szCs w:val="20"/>
        </w:rPr>
        <w:t xml:space="preserve"> </w:t>
      </w:r>
      <w:r w:rsidRPr="006B35C3">
        <w:rPr>
          <w:rFonts w:ascii="Arial" w:hAnsi="Arial" w:cs="Arial"/>
          <w:bCs/>
          <w:sz w:val="20"/>
          <w:szCs w:val="20"/>
          <w:lang w:val="en-US"/>
        </w:rPr>
        <w:t>18</w:t>
      </w:r>
      <w:r w:rsidRPr="006B35C3">
        <w:rPr>
          <w:rFonts w:ascii="Arial" w:hAnsi="Arial" w:cs="Arial"/>
          <w:bCs/>
          <w:sz w:val="20"/>
          <w:szCs w:val="20"/>
        </w:rPr>
        <w:t>, 2021.</w:t>
      </w:r>
    </w:p>
    <w:p w14:paraId="7E3B63FA" w14:textId="1B784026" w:rsidR="004A4B63" w:rsidRPr="00986A48" w:rsidRDefault="00632D26" w:rsidP="004A4B63">
      <w:pPr>
        <w:pStyle w:val="Doc-title"/>
        <w:numPr>
          <w:ilvl w:val="0"/>
          <w:numId w:val="36"/>
        </w:numPr>
        <w:rPr>
          <w:szCs w:val="20"/>
        </w:rPr>
      </w:pPr>
      <w:r w:rsidRPr="008F5C96">
        <w:rPr>
          <w:szCs w:val="20"/>
        </w:rPr>
        <w:t>R2-2106446</w:t>
      </w:r>
      <w:r w:rsidR="00E83D55" w:rsidRPr="006B35C3">
        <w:rPr>
          <w:szCs w:val="20"/>
        </w:rPr>
        <w:t xml:space="preserve">, </w:t>
      </w:r>
      <w:r w:rsidR="004A4B63" w:rsidRPr="006B35C3">
        <w:rPr>
          <w:szCs w:val="20"/>
        </w:rPr>
        <w:t>RAN2 Datapath impact from &gt;52GHz</w:t>
      </w:r>
      <w:r w:rsidR="00E83D55" w:rsidRPr="006B35C3">
        <w:rPr>
          <w:szCs w:val="20"/>
        </w:rPr>
        <w:t xml:space="preserve">, </w:t>
      </w:r>
      <w:r w:rsidR="004A4B63" w:rsidRPr="006B35C3">
        <w:rPr>
          <w:szCs w:val="20"/>
        </w:rPr>
        <w:t>Apple Inc</w:t>
      </w:r>
      <w:r w:rsidR="00E83D55" w:rsidRPr="006B35C3">
        <w:rPr>
          <w:szCs w:val="20"/>
        </w:rPr>
        <w:t>, RAN2#114</w:t>
      </w:r>
    </w:p>
    <w:p w14:paraId="7288E480" w14:textId="77777777" w:rsidR="000528D4" w:rsidRPr="00684BC6" w:rsidRDefault="000528D4" w:rsidP="00684BC6">
      <w:pPr>
        <w:rPr>
          <w:lang w:val="en-GB" w:eastAsia="ja-JP"/>
        </w:rPr>
      </w:pPr>
    </w:p>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059126" w14:textId="77777777" w:rsidR="00DB3B08" w:rsidRDefault="00DB3B08">
      <w:r>
        <w:separator/>
      </w:r>
    </w:p>
  </w:endnote>
  <w:endnote w:type="continuationSeparator" w:id="0">
    <w:p w14:paraId="69971EA4" w14:textId="77777777" w:rsidR="00DB3B08" w:rsidRDefault="00DB3B08">
      <w:r>
        <w:continuationSeparator/>
      </w:r>
    </w:p>
  </w:endnote>
  <w:endnote w:type="continuationNotice" w:id="1">
    <w:p w14:paraId="6336C471" w14:textId="77777777" w:rsidR="00DB3B08" w:rsidRDefault="00DB3B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A84559" w14:textId="77777777" w:rsidR="00DB3B08" w:rsidRDefault="00DB3B08">
      <w:r>
        <w:separator/>
      </w:r>
    </w:p>
  </w:footnote>
  <w:footnote w:type="continuationSeparator" w:id="0">
    <w:p w14:paraId="1840F335" w14:textId="77777777" w:rsidR="00DB3B08" w:rsidRDefault="00DB3B08">
      <w:r>
        <w:continuationSeparator/>
      </w:r>
    </w:p>
  </w:footnote>
  <w:footnote w:type="continuationNotice" w:id="1">
    <w:p w14:paraId="5037B625" w14:textId="77777777" w:rsidR="00DB3B08" w:rsidRDefault="00DB3B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5E005C"/>
    <w:multiLevelType w:val="hybridMultilevel"/>
    <w:tmpl w:val="07D24D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BEB579D"/>
    <w:multiLevelType w:val="hybridMultilevel"/>
    <w:tmpl w:val="BD2822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AA129F"/>
    <w:multiLevelType w:val="hybridMultilevel"/>
    <w:tmpl w:val="16ECA29E"/>
    <w:lvl w:ilvl="0" w:tplc="070CA234">
      <w:start w:val="1"/>
      <w:numFmt w:val="bullet"/>
      <w:lvlText w:val="›"/>
      <w:lvlJc w:val="left"/>
      <w:pPr>
        <w:tabs>
          <w:tab w:val="num" w:pos="720"/>
        </w:tabs>
        <w:ind w:left="720" w:hanging="360"/>
      </w:pPr>
      <w:rPr>
        <w:rFonts w:ascii="Arial" w:hAnsi="Arial" w:hint="default"/>
      </w:rPr>
    </w:lvl>
    <w:lvl w:ilvl="1" w:tplc="27CE8278">
      <w:numFmt w:val="bullet"/>
      <w:lvlText w:val="•"/>
      <w:lvlJc w:val="left"/>
      <w:pPr>
        <w:tabs>
          <w:tab w:val="num" w:pos="1440"/>
        </w:tabs>
        <w:ind w:left="1440" w:hanging="360"/>
      </w:pPr>
      <w:rPr>
        <w:rFonts w:ascii="Arial" w:hAnsi="Arial" w:hint="default"/>
      </w:rPr>
    </w:lvl>
    <w:lvl w:ilvl="2" w:tplc="CBFC0E9E" w:tentative="1">
      <w:start w:val="1"/>
      <w:numFmt w:val="bullet"/>
      <w:lvlText w:val="›"/>
      <w:lvlJc w:val="left"/>
      <w:pPr>
        <w:tabs>
          <w:tab w:val="num" w:pos="2160"/>
        </w:tabs>
        <w:ind w:left="2160" w:hanging="360"/>
      </w:pPr>
      <w:rPr>
        <w:rFonts w:ascii="Arial" w:hAnsi="Arial" w:hint="default"/>
      </w:rPr>
    </w:lvl>
    <w:lvl w:ilvl="3" w:tplc="2C424588" w:tentative="1">
      <w:start w:val="1"/>
      <w:numFmt w:val="bullet"/>
      <w:lvlText w:val="›"/>
      <w:lvlJc w:val="left"/>
      <w:pPr>
        <w:tabs>
          <w:tab w:val="num" w:pos="2880"/>
        </w:tabs>
        <w:ind w:left="2880" w:hanging="360"/>
      </w:pPr>
      <w:rPr>
        <w:rFonts w:ascii="Arial" w:hAnsi="Arial" w:hint="default"/>
      </w:rPr>
    </w:lvl>
    <w:lvl w:ilvl="4" w:tplc="C590A92C" w:tentative="1">
      <w:start w:val="1"/>
      <w:numFmt w:val="bullet"/>
      <w:lvlText w:val="›"/>
      <w:lvlJc w:val="left"/>
      <w:pPr>
        <w:tabs>
          <w:tab w:val="num" w:pos="3600"/>
        </w:tabs>
        <w:ind w:left="3600" w:hanging="360"/>
      </w:pPr>
      <w:rPr>
        <w:rFonts w:ascii="Arial" w:hAnsi="Arial" w:hint="default"/>
      </w:rPr>
    </w:lvl>
    <w:lvl w:ilvl="5" w:tplc="93E66950" w:tentative="1">
      <w:start w:val="1"/>
      <w:numFmt w:val="bullet"/>
      <w:lvlText w:val="›"/>
      <w:lvlJc w:val="left"/>
      <w:pPr>
        <w:tabs>
          <w:tab w:val="num" w:pos="4320"/>
        </w:tabs>
        <w:ind w:left="4320" w:hanging="360"/>
      </w:pPr>
      <w:rPr>
        <w:rFonts w:ascii="Arial" w:hAnsi="Arial" w:hint="default"/>
      </w:rPr>
    </w:lvl>
    <w:lvl w:ilvl="6" w:tplc="BBDA08B0" w:tentative="1">
      <w:start w:val="1"/>
      <w:numFmt w:val="bullet"/>
      <w:lvlText w:val="›"/>
      <w:lvlJc w:val="left"/>
      <w:pPr>
        <w:tabs>
          <w:tab w:val="num" w:pos="5040"/>
        </w:tabs>
        <w:ind w:left="5040" w:hanging="360"/>
      </w:pPr>
      <w:rPr>
        <w:rFonts w:ascii="Arial" w:hAnsi="Arial" w:hint="default"/>
      </w:rPr>
    </w:lvl>
    <w:lvl w:ilvl="7" w:tplc="A5DA4410" w:tentative="1">
      <w:start w:val="1"/>
      <w:numFmt w:val="bullet"/>
      <w:lvlText w:val="›"/>
      <w:lvlJc w:val="left"/>
      <w:pPr>
        <w:tabs>
          <w:tab w:val="num" w:pos="5760"/>
        </w:tabs>
        <w:ind w:left="5760" w:hanging="360"/>
      </w:pPr>
      <w:rPr>
        <w:rFonts w:ascii="Arial" w:hAnsi="Arial" w:hint="default"/>
      </w:rPr>
    </w:lvl>
    <w:lvl w:ilvl="8" w:tplc="9D203F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E205B3"/>
    <w:multiLevelType w:val="hybridMultilevel"/>
    <w:tmpl w:val="A4FCE2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7A83436"/>
    <w:multiLevelType w:val="hybridMultilevel"/>
    <w:tmpl w:val="5810AF8C"/>
    <w:lvl w:ilvl="0" w:tplc="6AA81E08">
      <w:start w:val="3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E1D6434"/>
    <w:multiLevelType w:val="hybridMultilevel"/>
    <w:tmpl w:val="2F70261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E77889"/>
    <w:multiLevelType w:val="hybridMultilevel"/>
    <w:tmpl w:val="5712DAF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1183EE7"/>
    <w:multiLevelType w:val="hybridMultilevel"/>
    <w:tmpl w:val="DE3C50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4050AC7"/>
    <w:multiLevelType w:val="hybridMultilevel"/>
    <w:tmpl w:val="45E6DAF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5450B4A"/>
    <w:multiLevelType w:val="hybridMultilevel"/>
    <w:tmpl w:val="ACD037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B8B2D65"/>
    <w:multiLevelType w:val="hybridMultilevel"/>
    <w:tmpl w:val="76D2D742"/>
    <w:lvl w:ilvl="0" w:tplc="8168F94C">
      <w:start w:val="1"/>
      <w:numFmt w:val="decimal"/>
      <w:lvlText w:val="%1)"/>
      <w:lvlJc w:val="left"/>
      <w:pPr>
        <w:ind w:left="360" w:hanging="360"/>
      </w:pPr>
      <w:rPr>
        <w:rFonts w:ascii="Times New Roman" w:hAnsi="Times New Roman" w:cs="Times New Roman" w:hint="default"/>
        <w:sz w:val="24"/>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2B95385D"/>
    <w:multiLevelType w:val="hybridMultilevel"/>
    <w:tmpl w:val="EA1E3E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5E42007"/>
    <w:multiLevelType w:val="hybridMultilevel"/>
    <w:tmpl w:val="ECC4DB60"/>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6"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3F72F00"/>
    <w:multiLevelType w:val="hybridMultilevel"/>
    <w:tmpl w:val="7D3615BC"/>
    <w:lvl w:ilvl="0" w:tplc="3EDAB784">
      <w:numFmt w:val="bullet"/>
      <w:lvlText w:val="-"/>
      <w:lvlJc w:val="left"/>
      <w:pPr>
        <w:ind w:left="852" w:hanging="420"/>
      </w:pPr>
      <w:rPr>
        <w:rFonts w:ascii="Times New Roman" w:eastAsia="SimSun"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1" w15:restartNumberingAfterBreak="0">
    <w:nsid w:val="4A4E5D48"/>
    <w:multiLevelType w:val="hybridMultilevel"/>
    <w:tmpl w:val="A31E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DFA7C39"/>
    <w:multiLevelType w:val="hybridMultilevel"/>
    <w:tmpl w:val="E7B0CB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7BE2F96"/>
    <w:multiLevelType w:val="hybridMultilevel"/>
    <w:tmpl w:val="149866DA"/>
    <w:lvl w:ilvl="0" w:tplc="D2A6C4E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694E1A1F"/>
    <w:multiLevelType w:val="multilevel"/>
    <w:tmpl w:val="A3C8983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5E028E"/>
    <w:multiLevelType w:val="hybridMultilevel"/>
    <w:tmpl w:val="51BE547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73183F22"/>
    <w:multiLevelType w:val="hybridMultilevel"/>
    <w:tmpl w:val="53F0B1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7BF1A3A"/>
    <w:multiLevelType w:val="hybridMultilevel"/>
    <w:tmpl w:val="BA2846D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7D5201E1"/>
    <w:multiLevelType w:val="hybridMultilevel"/>
    <w:tmpl w:val="831E8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3"/>
  </w:num>
  <w:num w:numId="2">
    <w:abstractNumId w:val="32"/>
  </w:num>
  <w:num w:numId="3">
    <w:abstractNumId w:val="25"/>
  </w:num>
  <w:num w:numId="4">
    <w:abstractNumId w:val="27"/>
  </w:num>
  <w:num w:numId="5">
    <w:abstractNumId w:val="21"/>
  </w:num>
  <w:num w:numId="6">
    <w:abstractNumId w:val="29"/>
  </w:num>
  <w:num w:numId="7">
    <w:abstractNumId w:val="36"/>
  </w:num>
  <w:num w:numId="8">
    <w:abstractNumId w:val="22"/>
  </w:num>
  <w:num w:numId="9">
    <w:abstractNumId w:val="18"/>
  </w:num>
  <w:num w:numId="10">
    <w:abstractNumId w:val="2"/>
  </w:num>
  <w:num w:numId="11">
    <w:abstractNumId w:val="1"/>
  </w:num>
  <w:num w:numId="12">
    <w:abstractNumId w:val="0"/>
  </w:num>
  <w:num w:numId="13">
    <w:abstractNumId w:val="33"/>
  </w:num>
  <w:num w:numId="14">
    <w:abstractNumId w:val="35"/>
  </w:num>
  <w:num w:numId="15">
    <w:abstractNumId w:val="28"/>
  </w:num>
  <w:num w:numId="16">
    <w:abstractNumId w:val="37"/>
  </w:num>
  <w:num w:numId="17">
    <w:abstractNumId w:val="11"/>
  </w:num>
  <w:num w:numId="18">
    <w:abstractNumId w:val="16"/>
  </w:num>
  <w:num w:numId="19">
    <w:abstractNumId w:val="6"/>
  </w:num>
  <w:num w:numId="20">
    <w:abstractNumId w:val="46"/>
  </w:num>
  <w:num w:numId="21">
    <w:abstractNumId w:val="23"/>
  </w:num>
  <w:num w:numId="22">
    <w:abstractNumId w:val="42"/>
  </w:num>
  <w:num w:numId="23">
    <w:abstractNumId w:val="17"/>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26"/>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49"/>
  </w:num>
  <w:num w:numId="26">
    <w:abstractNumId w:val="10"/>
  </w:num>
  <w:num w:numId="27">
    <w:abstractNumId w:val="7"/>
  </w:num>
  <w:num w:numId="28">
    <w:abstractNumId w:val="8"/>
  </w:num>
  <w:num w:numId="29">
    <w:abstractNumId w:val="41"/>
  </w:num>
  <w:num w:numId="30">
    <w:abstractNumId w:val="4"/>
  </w:num>
  <w:num w:numId="31">
    <w:abstractNumId w:val="12"/>
  </w:num>
  <w:num w:numId="32">
    <w:abstractNumId w:val="40"/>
  </w:num>
  <w:num w:numId="33">
    <w:abstractNumId w:val="9"/>
  </w:num>
  <w:num w:numId="34">
    <w:abstractNumId w:val="44"/>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5"/>
  </w:num>
  <w:num w:numId="38">
    <w:abstractNumId w:val="14"/>
  </w:num>
  <w:num w:numId="39">
    <w:abstractNumId w:val="20"/>
  </w:num>
  <w:num w:numId="40">
    <w:abstractNumId w:val="47"/>
  </w:num>
  <w:num w:numId="41">
    <w:abstractNumId w:val="13"/>
  </w:num>
  <w:num w:numId="42">
    <w:abstractNumId w:val="5"/>
  </w:num>
  <w:num w:numId="43">
    <w:abstractNumId w:val="30"/>
  </w:num>
  <w:num w:numId="44">
    <w:abstractNumId w:val="39"/>
  </w:num>
  <w:num w:numId="45">
    <w:abstractNumId w:val="38"/>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num>
  <w:num w:numId="49">
    <w:abstractNumId w:val="43"/>
  </w:num>
  <w:num w:numId="50">
    <w:abstractNumId w:val="48"/>
  </w:num>
  <w:num w:numId="51">
    <w:abstractNumId w:val="15"/>
  </w:num>
  <w:num w:numId="52">
    <w:abstractNumId w:val="31"/>
  </w:num>
  <w:num w:numId="53">
    <w:abstractNumId w:val="43"/>
  </w:num>
  <w:num w:numId="54">
    <w:abstractNumId w:val="48"/>
  </w:num>
  <w:num w:numId="55">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40B5"/>
    <w:rsid w:val="0000564C"/>
    <w:rsid w:val="00006446"/>
    <w:rsid w:val="00006896"/>
    <w:rsid w:val="00006E8C"/>
    <w:rsid w:val="00007CDC"/>
    <w:rsid w:val="00010B2C"/>
    <w:rsid w:val="000112BB"/>
    <w:rsid w:val="00011B28"/>
    <w:rsid w:val="00011B37"/>
    <w:rsid w:val="00013BFE"/>
    <w:rsid w:val="00015D15"/>
    <w:rsid w:val="0001607D"/>
    <w:rsid w:val="0002149D"/>
    <w:rsid w:val="00022E21"/>
    <w:rsid w:val="000238F9"/>
    <w:rsid w:val="00023FDB"/>
    <w:rsid w:val="0002534B"/>
    <w:rsid w:val="0002564D"/>
    <w:rsid w:val="00025ECA"/>
    <w:rsid w:val="0002615C"/>
    <w:rsid w:val="00026857"/>
    <w:rsid w:val="000325B8"/>
    <w:rsid w:val="00034C15"/>
    <w:rsid w:val="000357DA"/>
    <w:rsid w:val="00035EF6"/>
    <w:rsid w:val="000365BA"/>
    <w:rsid w:val="00036BA1"/>
    <w:rsid w:val="000422E2"/>
    <w:rsid w:val="00042BB6"/>
    <w:rsid w:val="00042ED3"/>
    <w:rsid w:val="00042F22"/>
    <w:rsid w:val="000444EF"/>
    <w:rsid w:val="00044B2D"/>
    <w:rsid w:val="000470ED"/>
    <w:rsid w:val="000528D4"/>
    <w:rsid w:val="00052A07"/>
    <w:rsid w:val="000534A6"/>
    <w:rsid w:val="000534E3"/>
    <w:rsid w:val="00053572"/>
    <w:rsid w:val="00053A04"/>
    <w:rsid w:val="00053E71"/>
    <w:rsid w:val="0005606A"/>
    <w:rsid w:val="000568DB"/>
    <w:rsid w:val="00057117"/>
    <w:rsid w:val="000575BD"/>
    <w:rsid w:val="000613AE"/>
    <w:rsid w:val="000616E7"/>
    <w:rsid w:val="00061838"/>
    <w:rsid w:val="00063568"/>
    <w:rsid w:val="00063E98"/>
    <w:rsid w:val="000644F3"/>
    <w:rsid w:val="0006487E"/>
    <w:rsid w:val="00064E39"/>
    <w:rsid w:val="000659B6"/>
    <w:rsid w:val="00065E1A"/>
    <w:rsid w:val="0006623E"/>
    <w:rsid w:val="00066ED5"/>
    <w:rsid w:val="00067863"/>
    <w:rsid w:val="0007283F"/>
    <w:rsid w:val="00072D12"/>
    <w:rsid w:val="0007368D"/>
    <w:rsid w:val="000764D7"/>
    <w:rsid w:val="0007656F"/>
    <w:rsid w:val="00077E5F"/>
    <w:rsid w:val="0008036A"/>
    <w:rsid w:val="0008048F"/>
    <w:rsid w:val="00080B91"/>
    <w:rsid w:val="00081AE6"/>
    <w:rsid w:val="00082A6A"/>
    <w:rsid w:val="000855EB"/>
    <w:rsid w:val="00085B52"/>
    <w:rsid w:val="000866F2"/>
    <w:rsid w:val="0008755D"/>
    <w:rsid w:val="0009009F"/>
    <w:rsid w:val="00091557"/>
    <w:rsid w:val="000924C1"/>
    <w:rsid w:val="000924F0"/>
    <w:rsid w:val="000931E7"/>
    <w:rsid w:val="00093474"/>
    <w:rsid w:val="0009510F"/>
    <w:rsid w:val="0009538D"/>
    <w:rsid w:val="00096011"/>
    <w:rsid w:val="0009777B"/>
    <w:rsid w:val="000A0C45"/>
    <w:rsid w:val="000A1A6B"/>
    <w:rsid w:val="000A1B7B"/>
    <w:rsid w:val="000A1C71"/>
    <w:rsid w:val="000A1EE6"/>
    <w:rsid w:val="000A259B"/>
    <w:rsid w:val="000A4D56"/>
    <w:rsid w:val="000A56F2"/>
    <w:rsid w:val="000A7993"/>
    <w:rsid w:val="000B1CEC"/>
    <w:rsid w:val="000B2719"/>
    <w:rsid w:val="000B353E"/>
    <w:rsid w:val="000B3A8F"/>
    <w:rsid w:val="000B4AB9"/>
    <w:rsid w:val="000B55B4"/>
    <w:rsid w:val="000B58C3"/>
    <w:rsid w:val="000B61E9"/>
    <w:rsid w:val="000B7557"/>
    <w:rsid w:val="000C0C5A"/>
    <w:rsid w:val="000C1648"/>
    <w:rsid w:val="000C165A"/>
    <w:rsid w:val="000C2E19"/>
    <w:rsid w:val="000C786F"/>
    <w:rsid w:val="000C7FB3"/>
    <w:rsid w:val="000D0D07"/>
    <w:rsid w:val="000D1A6E"/>
    <w:rsid w:val="000D3B84"/>
    <w:rsid w:val="000D4797"/>
    <w:rsid w:val="000E0527"/>
    <w:rsid w:val="000E106A"/>
    <w:rsid w:val="000E1E92"/>
    <w:rsid w:val="000E26F2"/>
    <w:rsid w:val="000E42D0"/>
    <w:rsid w:val="000E4D53"/>
    <w:rsid w:val="000E55EE"/>
    <w:rsid w:val="000E603E"/>
    <w:rsid w:val="000F06D6"/>
    <w:rsid w:val="000F0EB1"/>
    <w:rsid w:val="000F1106"/>
    <w:rsid w:val="000F1CA9"/>
    <w:rsid w:val="000F3A6D"/>
    <w:rsid w:val="000F3BE9"/>
    <w:rsid w:val="000F3F6C"/>
    <w:rsid w:val="000F45CC"/>
    <w:rsid w:val="000F58DF"/>
    <w:rsid w:val="000F6DF3"/>
    <w:rsid w:val="000F6E7D"/>
    <w:rsid w:val="001005FF"/>
    <w:rsid w:val="0010212C"/>
    <w:rsid w:val="0010270A"/>
    <w:rsid w:val="00102893"/>
    <w:rsid w:val="00102A93"/>
    <w:rsid w:val="00105B59"/>
    <w:rsid w:val="001062FB"/>
    <w:rsid w:val="001063E6"/>
    <w:rsid w:val="00106B94"/>
    <w:rsid w:val="00107D7D"/>
    <w:rsid w:val="00110811"/>
    <w:rsid w:val="00111F8B"/>
    <w:rsid w:val="00113329"/>
    <w:rsid w:val="00113423"/>
    <w:rsid w:val="00113CF4"/>
    <w:rsid w:val="00113E86"/>
    <w:rsid w:val="00114AF9"/>
    <w:rsid w:val="001153EA"/>
    <w:rsid w:val="00115643"/>
    <w:rsid w:val="00115CAD"/>
    <w:rsid w:val="00116765"/>
    <w:rsid w:val="0012050A"/>
    <w:rsid w:val="00120A6A"/>
    <w:rsid w:val="001219F5"/>
    <w:rsid w:val="00121A20"/>
    <w:rsid w:val="0012201A"/>
    <w:rsid w:val="0012377F"/>
    <w:rsid w:val="00124314"/>
    <w:rsid w:val="00126B4A"/>
    <w:rsid w:val="0013085A"/>
    <w:rsid w:val="00130D4E"/>
    <w:rsid w:val="0013140C"/>
    <w:rsid w:val="00132FD0"/>
    <w:rsid w:val="001344C0"/>
    <w:rsid w:val="001346FA"/>
    <w:rsid w:val="00135252"/>
    <w:rsid w:val="00136B3E"/>
    <w:rsid w:val="00137179"/>
    <w:rsid w:val="00137AB5"/>
    <w:rsid w:val="00137F0B"/>
    <w:rsid w:val="001422E3"/>
    <w:rsid w:val="00143508"/>
    <w:rsid w:val="00143541"/>
    <w:rsid w:val="00144CDF"/>
    <w:rsid w:val="0015017A"/>
    <w:rsid w:val="0015091F"/>
    <w:rsid w:val="00151A3B"/>
    <w:rsid w:val="00151E23"/>
    <w:rsid w:val="001526E0"/>
    <w:rsid w:val="00153C1B"/>
    <w:rsid w:val="001551B5"/>
    <w:rsid w:val="00157FCB"/>
    <w:rsid w:val="001604C7"/>
    <w:rsid w:val="00163C15"/>
    <w:rsid w:val="00164C64"/>
    <w:rsid w:val="00164FA1"/>
    <w:rsid w:val="0016509F"/>
    <w:rsid w:val="001659C1"/>
    <w:rsid w:val="00167485"/>
    <w:rsid w:val="00170107"/>
    <w:rsid w:val="00170245"/>
    <w:rsid w:val="00173A8E"/>
    <w:rsid w:val="0017502C"/>
    <w:rsid w:val="00177961"/>
    <w:rsid w:val="001810DB"/>
    <w:rsid w:val="0018143F"/>
    <w:rsid w:val="00181FF8"/>
    <w:rsid w:val="00183AAD"/>
    <w:rsid w:val="00190AC1"/>
    <w:rsid w:val="0019341A"/>
    <w:rsid w:val="00195E47"/>
    <w:rsid w:val="00196903"/>
    <w:rsid w:val="00197DF9"/>
    <w:rsid w:val="001A1987"/>
    <w:rsid w:val="001A19C6"/>
    <w:rsid w:val="001A2564"/>
    <w:rsid w:val="001A3098"/>
    <w:rsid w:val="001A3FD0"/>
    <w:rsid w:val="001A41F2"/>
    <w:rsid w:val="001A5590"/>
    <w:rsid w:val="001A6173"/>
    <w:rsid w:val="001A63AC"/>
    <w:rsid w:val="001A6CBA"/>
    <w:rsid w:val="001A730B"/>
    <w:rsid w:val="001A7B08"/>
    <w:rsid w:val="001A7CBC"/>
    <w:rsid w:val="001B0D97"/>
    <w:rsid w:val="001B1247"/>
    <w:rsid w:val="001B1C69"/>
    <w:rsid w:val="001B3CDA"/>
    <w:rsid w:val="001B46A5"/>
    <w:rsid w:val="001B5A5D"/>
    <w:rsid w:val="001C01F7"/>
    <w:rsid w:val="001C0E2E"/>
    <w:rsid w:val="001C1CE5"/>
    <w:rsid w:val="001C3D2A"/>
    <w:rsid w:val="001C3DDE"/>
    <w:rsid w:val="001D2678"/>
    <w:rsid w:val="001D51BA"/>
    <w:rsid w:val="001D53E7"/>
    <w:rsid w:val="001D5DCE"/>
    <w:rsid w:val="001D6342"/>
    <w:rsid w:val="001D6D53"/>
    <w:rsid w:val="001D6E32"/>
    <w:rsid w:val="001D7629"/>
    <w:rsid w:val="001E2563"/>
    <w:rsid w:val="001E4EF5"/>
    <w:rsid w:val="001E58E2"/>
    <w:rsid w:val="001E7AED"/>
    <w:rsid w:val="001E7CC9"/>
    <w:rsid w:val="001F0EE6"/>
    <w:rsid w:val="001F3916"/>
    <w:rsid w:val="001F54C5"/>
    <w:rsid w:val="001F662C"/>
    <w:rsid w:val="001F7074"/>
    <w:rsid w:val="00200490"/>
    <w:rsid w:val="00200513"/>
    <w:rsid w:val="0020093B"/>
    <w:rsid w:val="00201F3A"/>
    <w:rsid w:val="00203A78"/>
    <w:rsid w:val="00203F96"/>
    <w:rsid w:val="002061E1"/>
    <w:rsid w:val="002069B2"/>
    <w:rsid w:val="00206B6C"/>
    <w:rsid w:val="00207FA3"/>
    <w:rsid w:val="00213433"/>
    <w:rsid w:val="00214DA8"/>
    <w:rsid w:val="00215423"/>
    <w:rsid w:val="002158FA"/>
    <w:rsid w:val="00216006"/>
    <w:rsid w:val="0021613A"/>
    <w:rsid w:val="00220600"/>
    <w:rsid w:val="002224DB"/>
    <w:rsid w:val="00223FCB"/>
    <w:rsid w:val="00224ECD"/>
    <w:rsid w:val="002252C3"/>
    <w:rsid w:val="00225C54"/>
    <w:rsid w:val="00230765"/>
    <w:rsid w:val="00230D18"/>
    <w:rsid w:val="002319E4"/>
    <w:rsid w:val="00235628"/>
    <w:rsid w:val="00235632"/>
    <w:rsid w:val="00235872"/>
    <w:rsid w:val="00235E2D"/>
    <w:rsid w:val="00237C14"/>
    <w:rsid w:val="002404FA"/>
    <w:rsid w:val="00240974"/>
    <w:rsid w:val="00241158"/>
    <w:rsid w:val="00241559"/>
    <w:rsid w:val="002435B3"/>
    <w:rsid w:val="002458B8"/>
    <w:rsid w:val="002458EB"/>
    <w:rsid w:val="002500C8"/>
    <w:rsid w:val="0025266F"/>
    <w:rsid w:val="00253853"/>
    <w:rsid w:val="00253E23"/>
    <w:rsid w:val="00257543"/>
    <w:rsid w:val="002579B9"/>
    <w:rsid w:val="002617E7"/>
    <w:rsid w:val="00264228"/>
    <w:rsid w:val="00264334"/>
    <w:rsid w:val="0026473E"/>
    <w:rsid w:val="00266214"/>
    <w:rsid w:val="00267C83"/>
    <w:rsid w:val="0027144F"/>
    <w:rsid w:val="00271813"/>
    <w:rsid w:val="00271F3A"/>
    <w:rsid w:val="00273278"/>
    <w:rsid w:val="00273584"/>
    <w:rsid w:val="0027358E"/>
    <w:rsid w:val="002737F4"/>
    <w:rsid w:val="00275186"/>
    <w:rsid w:val="0027582D"/>
    <w:rsid w:val="00280395"/>
    <w:rsid w:val="002805F5"/>
    <w:rsid w:val="0028063B"/>
    <w:rsid w:val="00280751"/>
    <w:rsid w:val="00280D0F"/>
    <w:rsid w:val="0028140D"/>
    <w:rsid w:val="0028280A"/>
    <w:rsid w:val="00283ADA"/>
    <w:rsid w:val="0028445F"/>
    <w:rsid w:val="00284993"/>
    <w:rsid w:val="00284D0A"/>
    <w:rsid w:val="00286ACD"/>
    <w:rsid w:val="00287838"/>
    <w:rsid w:val="00290562"/>
    <w:rsid w:val="002907B5"/>
    <w:rsid w:val="0029093E"/>
    <w:rsid w:val="00291831"/>
    <w:rsid w:val="002923FB"/>
    <w:rsid w:val="00292EB7"/>
    <w:rsid w:val="00292F3F"/>
    <w:rsid w:val="00296227"/>
    <w:rsid w:val="00296639"/>
    <w:rsid w:val="00296F44"/>
    <w:rsid w:val="0029777D"/>
    <w:rsid w:val="002A055E"/>
    <w:rsid w:val="002A05FB"/>
    <w:rsid w:val="002A1D4E"/>
    <w:rsid w:val="002A2869"/>
    <w:rsid w:val="002A45B9"/>
    <w:rsid w:val="002A5044"/>
    <w:rsid w:val="002A61C9"/>
    <w:rsid w:val="002B24D6"/>
    <w:rsid w:val="002B2FA4"/>
    <w:rsid w:val="002B5758"/>
    <w:rsid w:val="002B63FD"/>
    <w:rsid w:val="002B697D"/>
    <w:rsid w:val="002B6B8E"/>
    <w:rsid w:val="002C1D86"/>
    <w:rsid w:val="002C3358"/>
    <w:rsid w:val="002C41E6"/>
    <w:rsid w:val="002C73A0"/>
    <w:rsid w:val="002C76D8"/>
    <w:rsid w:val="002C796D"/>
    <w:rsid w:val="002D071A"/>
    <w:rsid w:val="002D10D4"/>
    <w:rsid w:val="002D34B2"/>
    <w:rsid w:val="002D48B0"/>
    <w:rsid w:val="002D5B37"/>
    <w:rsid w:val="002D665B"/>
    <w:rsid w:val="002D7637"/>
    <w:rsid w:val="002E17F2"/>
    <w:rsid w:val="002E230A"/>
    <w:rsid w:val="002E3610"/>
    <w:rsid w:val="002E6C49"/>
    <w:rsid w:val="002E7526"/>
    <w:rsid w:val="002E7CAE"/>
    <w:rsid w:val="002F10A0"/>
    <w:rsid w:val="002F2771"/>
    <w:rsid w:val="002F2D1D"/>
    <w:rsid w:val="002F3449"/>
    <w:rsid w:val="002F37A9"/>
    <w:rsid w:val="002F3E73"/>
    <w:rsid w:val="002F41F7"/>
    <w:rsid w:val="00301CE6"/>
    <w:rsid w:val="0030256B"/>
    <w:rsid w:val="00304D83"/>
    <w:rsid w:val="0030501F"/>
    <w:rsid w:val="00305C05"/>
    <w:rsid w:val="00305F9D"/>
    <w:rsid w:val="0030674A"/>
    <w:rsid w:val="00307BA1"/>
    <w:rsid w:val="00311702"/>
    <w:rsid w:val="00311961"/>
    <w:rsid w:val="00311E82"/>
    <w:rsid w:val="003127D0"/>
    <w:rsid w:val="003132F6"/>
    <w:rsid w:val="00313FC0"/>
    <w:rsid w:val="00313FD6"/>
    <w:rsid w:val="003143BD"/>
    <w:rsid w:val="00315363"/>
    <w:rsid w:val="0031594C"/>
    <w:rsid w:val="003203ED"/>
    <w:rsid w:val="00322C9F"/>
    <w:rsid w:val="0032394D"/>
    <w:rsid w:val="00324419"/>
    <w:rsid w:val="00324D23"/>
    <w:rsid w:val="00325601"/>
    <w:rsid w:val="00326C76"/>
    <w:rsid w:val="00331751"/>
    <w:rsid w:val="00331C5B"/>
    <w:rsid w:val="003323D5"/>
    <w:rsid w:val="003338B5"/>
    <w:rsid w:val="00333923"/>
    <w:rsid w:val="00334221"/>
    <w:rsid w:val="00334579"/>
    <w:rsid w:val="00335858"/>
    <w:rsid w:val="00336BDA"/>
    <w:rsid w:val="00342BD7"/>
    <w:rsid w:val="00342CDF"/>
    <w:rsid w:val="00344973"/>
    <w:rsid w:val="00346DB5"/>
    <w:rsid w:val="003477B1"/>
    <w:rsid w:val="003509F5"/>
    <w:rsid w:val="00357380"/>
    <w:rsid w:val="003602D9"/>
    <w:rsid w:val="003604CE"/>
    <w:rsid w:val="00364EA6"/>
    <w:rsid w:val="003703FD"/>
    <w:rsid w:val="00370E47"/>
    <w:rsid w:val="00370EE5"/>
    <w:rsid w:val="00372075"/>
    <w:rsid w:val="003742AC"/>
    <w:rsid w:val="00376769"/>
    <w:rsid w:val="00377CE1"/>
    <w:rsid w:val="00380C83"/>
    <w:rsid w:val="00381A09"/>
    <w:rsid w:val="0038335F"/>
    <w:rsid w:val="00385BF0"/>
    <w:rsid w:val="003938BC"/>
    <w:rsid w:val="003939FF"/>
    <w:rsid w:val="00395217"/>
    <w:rsid w:val="00396AB7"/>
    <w:rsid w:val="00397704"/>
    <w:rsid w:val="003A0AC9"/>
    <w:rsid w:val="003A2223"/>
    <w:rsid w:val="003A27D6"/>
    <w:rsid w:val="003A27E4"/>
    <w:rsid w:val="003A2A0F"/>
    <w:rsid w:val="003A34BF"/>
    <w:rsid w:val="003A45A1"/>
    <w:rsid w:val="003A5B0A"/>
    <w:rsid w:val="003A6291"/>
    <w:rsid w:val="003A6BAC"/>
    <w:rsid w:val="003A70A4"/>
    <w:rsid w:val="003A7EF3"/>
    <w:rsid w:val="003A7FD4"/>
    <w:rsid w:val="003B0815"/>
    <w:rsid w:val="003B159C"/>
    <w:rsid w:val="003B2984"/>
    <w:rsid w:val="003B2C93"/>
    <w:rsid w:val="003B369F"/>
    <w:rsid w:val="003B36A3"/>
    <w:rsid w:val="003B64BB"/>
    <w:rsid w:val="003B69A7"/>
    <w:rsid w:val="003B7FE5"/>
    <w:rsid w:val="003C00CB"/>
    <w:rsid w:val="003C11C8"/>
    <w:rsid w:val="003C1E4A"/>
    <w:rsid w:val="003C2702"/>
    <w:rsid w:val="003C439D"/>
    <w:rsid w:val="003C5938"/>
    <w:rsid w:val="003C7806"/>
    <w:rsid w:val="003D109F"/>
    <w:rsid w:val="003D2478"/>
    <w:rsid w:val="003D28CF"/>
    <w:rsid w:val="003D3C41"/>
    <w:rsid w:val="003D3C45"/>
    <w:rsid w:val="003D405E"/>
    <w:rsid w:val="003D5B1F"/>
    <w:rsid w:val="003E07A3"/>
    <w:rsid w:val="003E0A64"/>
    <w:rsid w:val="003E15FA"/>
    <w:rsid w:val="003E32BA"/>
    <w:rsid w:val="003E3B7B"/>
    <w:rsid w:val="003E55E4"/>
    <w:rsid w:val="003E74E3"/>
    <w:rsid w:val="003F05C7"/>
    <w:rsid w:val="003F241F"/>
    <w:rsid w:val="003F2CD4"/>
    <w:rsid w:val="003F3BDF"/>
    <w:rsid w:val="003F403D"/>
    <w:rsid w:val="003F5782"/>
    <w:rsid w:val="003F68C0"/>
    <w:rsid w:val="003F6BBE"/>
    <w:rsid w:val="003F7155"/>
    <w:rsid w:val="003F7760"/>
    <w:rsid w:val="004000E8"/>
    <w:rsid w:val="00400BB3"/>
    <w:rsid w:val="00402E2B"/>
    <w:rsid w:val="00402EB6"/>
    <w:rsid w:val="0040512B"/>
    <w:rsid w:val="00405CA5"/>
    <w:rsid w:val="00407CD3"/>
    <w:rsid w:val="00410134"/>
    <w:rsid w:val="00410B72"/>
    <w:rsid w:val="00410F18"/>
    <w:rsid w:val="0041249F"/>
    <w:rsid w:val="0041263E"/>
    <w:rsid w:val="00413AAC"/>
    <w:rsid w:val="00413B66"/>
    <w:rsid w:val="00413E92"/>
    <w:rsid w:val="00421105"/>
    <w:rsid w:val="00422AA4"/>
    <w:rsid w:val="004242F4"/>
    <w:rsid w:val="004262BB"/>
    <w:rsid w:val="00427248"/>
    <w:rsid w:val="004273B5"/>
    <w:rsid w:val="00432EE6"/>
    <w:rsid w:val="004330C7"/>
    <w:rsid w:val="00436676"/>
    <w:rsid w:val="00436B5D"/>
    <w:rsid w:val="00437447"/>
    <w:rsid w:val="004410B2"/>
    <w:rsid w:val="00441A92"/>
    <w:rsid w:val="00442521"/>
    <w:rsid w:val="004430D2"/>
    <w:rsid w:val="004431DC"/>
    <w:rsid w:val="00444F56"/>
    <w:rsid w:val="00446488"/>
    <w:rsid w:val="00451787"/>
    <w:rsid w:val="004517AA"/>
    <w:rsid w:val="00451A09"/>
    <w:rsid w:val="00452CAC"/>
    <w:rsid w:val="00454A39"/>
    <w:rsid w:val="0045675C"/>
    <w:rsid w:val="00457565"/>
    <w:rsid w:val="00457B71"/>
    <w:rsid w:val="00460A36"/>
    <w:rsid w:val="00460F75"/>
    <w:rsid w:val="0046114A"/>
    <w:rsid w:val="004611F3"/>
    <w:rsid w:val="00461C51"/>
    <w:rsid w:val="004643AC"/>
    <w:rsid w:val="004648D2"/>
    <w:rsid w:val="0046625D"/>
    <w:rsid w:val="004669E2"/>
    <w:rsid w:val="00467BAF"/>
    <w:rsid w:val="00470C31"/>
    <w:rsid w:val="00470DE9"/>
    <w:rsid w:val="00471DE0"/>
    <w:rsid w:val="00472D44"/>
    <w:rsid w:val="004734D0"/>
    <w:rsid w:val="00474844"/>
    <w:rsid w:val="00475523"/>
    <w:rsid w:val="0047556B"/>
    <w:rsid w:val="004755B3"/>
    <w:rsid w:val="00477768"/>
    <w:rsid w:val="00482038"/>
    <w:rsid w:val="004826A3"/>
    <w:rsid w:val="004848D9"/>
    <w:rsid w:val="004865B7"/>
    <w:rsid w:val="00491CBB"/>
    <w:rsid w:val="00492BC5"/>
    <w:rsid w:val="00493F2F"/>
    <w:rsid w:val="004964F1"/>
    <w:rsid w:val="004A16BC"/>
    <w:rsid w:val="004A2B94"/>
    <w:rsid w:val="004A34FE"/>
    <w:rsid w:val="004A3E17"/>
    <w:rsid w:val="004A48B1"/>
    <w:rsid w:val="004A4B63"/>
    <w:rsid w:val="004A4CA7"/>
    <w:rsid w:val="004A51AA"/>
    <w:rsid w:val="004A6F96"/>
    <w:rsid w:val="004A7371"/>
    <w:rsid w:val="004B0E74"/>
    <w:rsid w:val="004B2850"/>
    <w:rsid w:val="004B4578"/>
    <w:rsid w:val="004B6D71"/>
    <w:rsid w:val="004B6F6A"/>
    <w:rsid w:val="004B7943"/>
    <w:rsid w:val="004B7C0C"/>
    <w:rsid w:val="004C3898"/>
    <w:rsid w:val="004C3C39"/>
    <w:rsid w:val="004C5060"/>
    <w:rsid w:val="004C561B"/>
    <w:rsid w:val="004D0F82"/>
    <w:rsid w:val="004D2254"/>
    <w:rsid w:val="004D361F"/>
    <w:rsid w:val="004D36B1"/>
    <w:rsid w:val="004D3AD2"/>
    <w:rsid w:val="004D7A21"/>
    <w:rsid w:val="004D7EBD"/>
    <w:rsid w:val="004E10C6"/>
    <w:rsid w:val="004E2680"/>
    <w:rsid w:val="004E28F9"/>
    <w:rsid w:val="004E45B1"/>
    <w:rsid w:val="004E462E"/>
    <w:rsid w:val="004E5026"/>
    <w:rsid w:val="004E56DC"/>
    <w:rsid w:val="004E63BC"/>
    <w:rsid w:val="004E670F"/>
    <w:rsid w:val="004E6FF1"/>
    <w:rsid w:val="004E76F4"/>
    <w:rsid w:val="004F0194"/>
    <w:rsid w:val="004F0B4E"/>
    <w:rsid w:val="004F0B6C"/>
    <w:rsid w:val="004F2078"/>
    <w:rsid w:val="004F217B"/>
    <w:rsid w:val="004F4896"/>
    <w:rsid w:val="004F4DA3"/>
    <w:rsid w:val="004F58BE"/>
    <w:rsid w:val="004F59BA"/>
    <w:rsid w:val="0050521C"/>
    <w:rsid w:val="00506557"/>
    <w:rsid w:val="0050677A"/>
    <w:rsid w:val="00506990"/>
    <w:rsid w:val="0051079B"/>
    <w:rsid w:val="005108D8"/>
    <w:rsid w:val="005116F9"/>
    <w:rsid w:val="00511B7A"/>
    <w:rsid w:val="00511E07"/>
    <w:rsid w:val="0051421D"/>
    <w:rsid w:val="005153A7"/>
    <w:rsid w:val="0051541D"/>
    <w:rsid w:val="0052044F"/>
    <w:rsid w:val="005219CF"/>
    <w:rsid w:val="0052206A"/>
    <w:rsid w:val="0052217E"/>
    <w:rsid w:val="00525545"/>
    <w:rsid w:val="00525B92"/>
    <w:rsid w:val="005308B7"/>
    <w:rsid w:val="00530DBE"/>
    <w:rsid w:val="00531013"/>
    <w:rsid w:val="00531802"/>
    <w:rsid w:val="005324D5"/>
    <w:rsid w:val="005333A2"/>
    <w:rsid w:val="005337FA"/>
    <w:rsid w:val="00534B59"/>
    <w:rsid w:val="00536759"/>
    <w:rsid w:val="00537C62"/>
    <w:rsid w:val="00546970"/>
    <w:rsid w:val="00550B79"/>
    <w:rsid w:val="00551F3D"/>
    <w:rsid w:val="0055343F"/>
    <w:rsid w:val="00554E19"/>
    <w:rsid w:val="0055642F"/>
    <w:rsid w:val="0056121F"/>
    <w:rsid w:val="00561738"/>
    <w:rsid w:val="00562EA2"/>
    <w:rsid w:val="00566E78"/>
    <w:rsid w:val="00572505"/>
    <w:rsid w:val="00572CA2"/>
    <w:rsid w:val="00573A0D"/>
    <w:rsid w:val="00573FA2"/>
    <w:rsid w:val="0057591F"/>
    <w:rsid w:val="00576E4D"/>
    <w:rsid w:val="00577E9B"/>
    <w:rsid w:val="00582809"/>
    <w:rsid w:val="00583BCC"/>
    <w:rsid w:val="0058798C"/>
    <w:rsid w:val="005900FA"/>
    <w:rsid w:val="00590DFD"/>
    <w:rsid w:val="00591772"/>
    <w:rsid w:val="005935A4"/>
    <w:rsid w:val="005948C2"/>
    <w:rsid w:val="00594F46"/>
    <w:rsid w:val="00595686"/>
    <w:rsid w:val="00595796"/>
    <w:rsid w:val="00595D1C"/>
    <w:rsid w:val="00595DCA"/>
    <w:rsid w:val="00596002"/>
    <w:rsid w:val="005969BE"/>
    <w:rsid w:val="00596E79"/>
    <w:rsid w:val="0059779B"/>
    <w:rsid w:val="005A209A"/>
    <w:rsid w:val="005A26B4"/>
    <w:rsid w:val="005A2AC7"/>
    <w:rsid w:val="005A55AA"/>
    <w:rsid w:val="005A662D"/>
    <w:rsid w:val="005B1409"/>
    <w:rsid w:val="005B1D21"/>
    <w:rsid w:val="005B2ED4"/>
    <w:rsid w:val="005B35D7"/>
    <w:rsid w:val="005B392A"/>
    <w:rsid w:val="005B3AA3"/>
    <w:rsid w:val="005B4274"/>
    <w:rsid w:val="005B6B0F"/>
    <w:rsid w:val="005B6F83"/>
    <w:rsid w:val="005C2066"/>
    <w:rsid w:val="005C45F1"/>
    <w:rsid w:val="005C4F06"/>
    <w:rsid w:val="005C74FB"/>
    <w:rsid w:val="005C7531"/>
    <w:rsid w:val="005C775A"/>
    <w:rsid w:val="005D0A6F"/>
    <w:rsid w:val="005D1602"/>
    <w:rsid w:val="005D2EBB"/>
    <w:rsid w:val="005D4777"/>
    <w:rsid w:val="005E0DBC"/>
    <w:rsid w:val="005E0E96"/>
    <w:rsid w:val="005E1D20"/>
    <w:rsid w:val="005E1E05"/>
    <w:rsid w:val="005E385F"/>
    <w:rsid w:val="005E3A27"/>
    <w:rsid w:val="005E5B81"/>
    <w:rsid w:val="005F1BBE"/>
    <w:rsid w:val="005F2CB1"/>
    <w:rsid w:val="005F3025"/>
    <w:rsid w:val="005F569B"/>
    <w:rsid w:val="005F618C"/>
    <w:rsid w:val="005F6A0F"/>
    <w:rsid w:val="005F70BD"/>
    <w:rsid w:val="00600CE5"/>
    <w:rsid w:val="0060283C"/>
    <w:rsid w:val="0060291E"/>
    <w:rsid w:val="00604F14"/>
    <w:rsid w:val="006064FC"/>
    <w:rsid w:val="006118E7"/>
    <w:rsid w:val="00611B83"/>
    <w:rsid w:val="00613257"/>
    <w:rsid w:val="00615364"/>
    <w:rsid w:val="00620A71"/>
    <w:rsid w:val="00620D80"/>
    <w:rsid w:val="006234A6"/>
    <w:rsid w:val="00624EE3"/>
    <w:rsid w:val="00627073"/>
    <w:rsid w:val="00630001"/>
    <w:rsid w:val="00630971"/>
    <w:rsid w:val="006311B3"/>
    <w:rsid w:val="0063284C"/>
    <w:rsid w:val="00632D26"/>
    <w:rsid w:val="00633BE8"/>
    <w:rsid w:val="00636398"/>
    <w:rsid w:val="006368D3"/>
    <w:rsid w:val="006377EC"/>
    <w:rsid w:val="0064151F"/>
    <w:rsid w:val="00641533"/>
    <w:rsid w:val="006415AF"/>
    <w:rsid w:val="0064208D"/>
    <w:rsid w:val="00643475"/>
    <w:rsid w:val="006434A6"/>
    <w:rsid w:val="0064396A"/>
    <w:rsid w:val="0064624E"/>
    <w:rsid w:val="00650AB9"/>
    <w:rsid w:val="00650CEE"/>
    <w:rsid w:val="00652936"/>
    <w:rsid w:val="0065364B"/>
    <w:rsid w:val="00655733"/>
    <w:rsid w:val="00655ACD"/>
    <w:rsid w:val="0065677C"/>
    <w:rsid w:val="00656A92"/>
    <w:rsid w:val="00656DDE"/>
    <w:rsid w:val="0066011D"/>
    <w:rsid w:val="00660251"/>
    <w:rsid w:val="006607C0"/>
    <w:rsid w:val="006613A6"/>
    <w:rsid w:val="00661E72"/>
    <w:rsid w:val="00662064"/>
    <w:rsid w:val="006627A2"/>
    <w:rsid w:val="00662A19"/>
    <w:rsid w:val="006634E6"/>
    <w:rsid w:val="00663611"/>
    <w:rsid w:val="006655EE"/>
    <w:rsid w:val="00667EE7"/>
    <w:rsid w:val="00670922"/>
    <w:rsid w:val="00670BE1"/>
    <w:rsid w:val="0067218F"/>
    <w:rsid w:val="00673F5A"/>
    <w:rsid w:val="006741F2"/>
    <w:rsid w:val="00674CC3"/>
    <w:rsid w:val="00675C72"/>
    <w:rsid w:val="006771F9"/>
    <w:rsid w:val="006776D7"/>
    <w:rsid w:val="00681003"/>
    <w:rsid w:val="006817C9"/>
    <w:rsid w:val="00683ECE"/>
    <w:rsid w:val="00684BC6"/>
    <w:rsid w:val="0068649B"/>
    <w:rsid w:val="006870E1"/>
    <w:rsid w:val="00691754"/>
    <w:rsid w:val="00695496"/>
    <w:rsid w:val="00695FC2"/>
    <w:rsid w:val="00696949"/>
    <w:rsid w:val="00697052"/>
    <w:rsid w:val="006A06F0"/>
    <w:rsid w:val="006A22FC"/>
    <w:rsid w:val="006A36C4"/>
    <w:rsid w:val="006A46FB"/>
    <w:rsid w:val="006A5E28"/>
    <w:rsid w:val="006A697B"/>
    <w:rsid w:val="006A7AFF"/>
    <w:rsid w:val="006B1816"/>
    <w:rsid w:val="006B2099"/>
    <w:rsid w:val="006B35C3"/>
    <w:rsid w:val="006B3E02"/>
    <w:rsid w:val="006B4EEF"/>
    <w:rsid w:val="006B50CF"/>
    <w:rsid w:val="006B5EE9"/>
    <w:rsid w:val="006B67C9"/>
    <w:rsid w:val="006B7BAA"/>
    <w:rsid w:val="006C03B8"/>
    <w:rsid w:val="006C0DB7"/>
    <w:rsid w:val="006C19AB"/>
    <w:rsid w:val="006C3694"/>
    <w:rsid w:val="006C4D51"/>
    <w:rsid w:val="006C566E"/>
    <w:rsid w:val="006C5EC9"/>
    <w:rsid w:val="006C6059"/>
    <w:rsid w:val="006C6376"/>
    <w:rsid w:val="006C71A4"/>
    <w:rsid w:val="006C7522"/>
    <w:rsid w:val="006D0CB7"/>
    <w:rsid w:val="006D2CFB"/>
    <w:rsid w:val="006D426A"/>
    <w:rsid w:val="006D6F08"/>
    <w:rsid w:val="006E062C"/>
    <w:rsid w:val="006E0AA2"/>
    <w:rsid w:val="006E1C82"/>
    <w:rsid w:val="006E28B7"/>
    <w:rsid w:val="006E2A5B"/>
    <w:rsid w:val="006E2A9B"/>
    <w:rsid w:val="006E3310"/>
    <w:rsid w:val="006E3B9F"/>
    <w:rsid w:val="006E4E39"/>
    <w:rsid w:val="006E509B"/>
    <w:rsid w:val="006E565E"/>
    <w:rsid w:val="006E673D"/>
    <w:rsid w:val="006E788D"/>
    <w:rsid w:val="006E7D3B"/>
    <w:rsid w:val="006F1B70"/>
    <w:rsid w:val="006F300E"/>
    <w:rsid w:val="006F341D"/>
    <w:rsid w:val="006F3CDE"/>
    <w:rsid w:val="006F464A"/>
    <w:rsid w:val="006F491D"/>
    <w:rsid w:val="006F58D4"/>
    <w:rsid w:val="006F6287"/>
    <w:rsid w:val="006F639A"/>
    <w:rsid w:val="006F6404"/>
    <w:rsid w:val="006F6582"/>
    <w:rsid w:val="006F74E2"/>
    <w:rsid w:val="0070346E"/>
    <w:rsid w:val="00704E6E"/>
    <w:rsid w:val="00704EDB"/>
    <w:rsid w:val="00706101"/>
    <w:rsid w:val="00706E1C"/>
    <w:rsid w:val="00707072"/>
    <w:rsid w:val="00707AAB"/>
    <w:rsid w:val="00707D61"/>
    <w:rsid w:val="0071134F"/>
    <w:rsid w:val="00711A5E"/>
    <w:rsid w:val="007121E6"/>
    <w:rsid w:val="00712287"/>
    <w:rsid w:val="00712772"/>
    <w:rsid w:val="0071437C"/>
    <w:rsid w:val="007144ED"/>
    <w:rsid w:val="007148D3"/>
    <w:rsid w:val="007157C3"/>
    <w:rsid w:val="00715B9A"/>
    <w:rsid w:val="00715E42"/>
    <w:rsid w:val="007174B7"/>
    <w:rsid w:val="007227BE"/>
    <w:rsid w:val="0072316F"/>
    <w:rsid w:val="007232A8"/>
    <w:rsid w:val="00723A6D"/>
    <w:rsid w:val="007246E6"/>
    <w:rsid w:val="007257D0"/>
    <w:rsid w:val="007267DD"/>
    <w:rsid w:val="00726835"/>
    <w:rsid w:val="00726EA6"/>
    <w:rsid w:val="00727208"/>
    <w:rsid w:val="00727680"/>
    <w:rsid w:val="00731A05"/>
    <w:rsid w:val="0073202A"/>
    <w:rsid w:val="00732A7F"/>
    <w:rsid w:val="007348B1"/>
    <w:rsid w:val="0073627D"/>
    <w:rsid w:val="007362A6"/>
    <w:rsid w:val="00736D7D"/>
    <w:rsid w:val="007377AA"/>
    <w:rsid w:val="00740AB3"/>
    <w:rsid w:val="00740BB8"/>
    <w:rsid w:val="00740CD3"/>
    <w:rsid w:val="00740E58"/>
    <w:rsid w:val="00741EA0"/>
    <w:rsid w:val="00741F54"/>
    <w:rsid w:val="00742FCA"/>
    <w:rsid w:val="00743BDC"/>
    <w:rsid w:val="007445A0"/>
    <w:rsid w:val="0074524B"/>
    <w:rsid w:val="0074647E"/>
    <w:rsid w:val="00746842"/>
    <w:rsid w:val="00747D8B"/>
    <w:rsid w:val="0075089B"/>
    <w:rsid w:val="00751228"/>
    <w:rsid w:val="007558CF"/>
    <w:rsid w:val="007571E1"/>
    <w:rsid w:val="00757A16"/>
    <w:rsid w:val="007604B2"/>
    <w:rsid w:val="00765281"/>
    <w:rsid w:val="007666BC"/>
    <w:rsid w:val="0076680C"/>
    <w:rsid w:val="00766BAD"/>
    <w:rsid w:val="007702CA"/>
    <w:rsid w:val="007729A2"/>
    <w:rsid w:val="00772D37"/>
    <w:rsid w:val="007755F2"/>
    <w:rsid w:val="00776971"/>
    <w:rsid w:val="00780A80"/>
    <w:rsid w:val="0078160F"/>
    <w:rsid w:val="0078177E"/>
    <w:rsid w:val="0078304C"/>
    <w:rsid w:val="0078344C"/>
    <w:rsid w:val="00783673"/>
    <w:rsid w:val="00785490"/>
    <w:rsid w:val="00785F54"/>
    <w:rsid w:val="00787524"/>
    <w:rsid w:val="00791415"/>
    <w:rsid w:val="007925EA"/>
    <w:rsid w:val="00793CD8"/>
    <w:rsid w:val="00795AE4"/>
    <w:rsid w:val="00795C92"/>
    <w:rsid w:val="00796231"/>
    <w:rsid w:val="00797A63"/>
    <w:rsid w:val="00797DA6"/>
    <w:rsid w:val="00797EF5"/>
    <w:rsid w:val="007A1CB3"/>
    <w:rsid w:val="007A21FF"/>
    <w:rsid w:val="007A306F"/>
    <w:rsid w:val="007A43A6"/>
    <w:rsid w:val="007A58A6"/>
    <w:rsid w:val="007B1462"/>
    <w:rsid w:val="007B3D2D"/>
    <w:rsid w:val="007B50AE"/>
    <w:rsid w:val="007B51DF"/>
    <w:rsid w:val="007B5E59"/>
    <w:rsid w:val="007C05DD"/>
    <w:rsid w:val="007C3707"/>
    <w:rsid w:val="007C3D18"/>
    <w:rsid w:val="007C517D"/>
    <w:rsid w:val="007C6032"/>
    <w:rsid w:val="007C60BF"/>
    <w:rsid w:val="007C6A07"/>
    <w:rsid w:val="007C6D49"/>
    <w:rsid w:val="007C75A1"/>
    <w:rsid w:val="007C77A5"/>
    <w:rsid w:val="007D04E5"/>
    <w:rsid w:val="007D0EA9"/>
    <w:rsid w:val="007D166C"/>
    <w:rsid w:val="007D1D38"/>
    <w:rsid w:val="007D3632"/>
    <w:rsid w:val="007D5901"/>
    <w:rsid w:val="007D7157"/>
    <w:rsid w:val="007D7526"/>
    <w:rsid w:val="007E2B52"/>
    <w:rsid w:val="007E4610"/>
    <w:rsid w:val="007E4715"/>
    <w:rsid w:val="007E4BFF"/>
    <w:rsid w:val="007E505B"/>
    <w:rsid w:val="007E5B09"/>
    <w:rsid w:val="007E7091"/>
    <w:rsid w:val="007F030F"/>
    <w:rsid w:val="007F0F20"/>
    <w:rsid w:val="007F2D40"/>
    <w:rsid w:val="007F332D"/>
    <w:rsid w:val="007F577A"/>
    <w:rsid w:val="0080038D"/>
    <w:rsid w:val="0080281E"/>
    <w:rsid w:val="008036B6"/>
    <w:rsid w:val="00803EE8"/>
    <w:rsid w:val="00803FAE"/>
    <w:rsid w:val="00804732"/>
    <w:rsid w:val="008048E6"/>
    <w:rsid w:val="0080605F"/>
    <w:rsid w:val="008074B3"/>
    <w:rsid w:val="00807786"/>
    <w:rsid w:val="008108A1"/>
    <w:rsid w:val="00810E31"/>
    <w:rsid w:val="00810FDD"/>
    <w:rsid w:val="00811FCB"/>
    <w:rsid w:val="0081201F"/>
    <w:rsid w:val="008158D6"/>
    <w:rsid w:val="00816CBB"/>
    <w:rsid w:val="00817196"/>
    <w:rsid w:val="008200D9"/>
    <w:rsid w:val="00820D4F"/>
    <w:rsid w:val="0082151F"/>
    <w:rsid w:val="00822D0D"/>
    <w:rsid w:val="008235DB"/>
    <w:rsid w:val="00824AB4"/>
    <w:rsid w:val="00825C42"/>
    <w:rsid w:val="00825D25"/>
    <w:rsid w:val="008266D1"/>
    <w:rsid w:val="00826871"/>
    <w:rsid w:val="00827D6F"/>
    <w:rsid w:val="00831ADD"/>
    <w:rsid w:val="00833D37"/>
    <w:rsid w:val="008376AC"/>
    <w:rsid w:val="00840393"/>
    <w:rsid w:val="00840B2A"/>
    <w:rsid w:val="008444E8"/>
    <w:rsid w:val="00844E80"/>
    <w:rsid w:val="00846B21"/>
    <w:rsid w:val="00846FE7"/>
    <w:rsid w:val="0085034F"/>
    <w:rsid w:val="0085240F"/>
    <w:rsid w:val="0085256A"/>
    <w:rsid w:val="0085268C"/>
    <w:rsid w:val="00856911"/>
    <w:rsid w:val="00857D67"/>
    <w:rsid w:val="00862294"/>
    <w:rsid w:val="008631B9"/>
    <w:rsid w:val="008677FD"/>
    <w:rsid w:val="008706D4"/>
    <w:rsid w:val="00870F8A"/>
    <w:rsid w:val="008719A4"/>
    <w:rsid w:val="00871D23"/>
    <w:rsid w:val="00872781"/>
    <w:rsid w:val="00874312"/>
    <w:rsid w:val="0087437C"/>
    <w:rsid w:val="00874E2F"/>
    <w:rsid w:val="00875CD7"/>
    <w:rsid w:val="00876B4D"/>
    <w:rsid w:val="00877F18"/>
    <w:rsid w:val="0088057B"/>
    <w:rsid w:val="008811AA"/>
    <w:rsid w:val="0088265B"/>
    <w:rsid w:val="00886F94"/>
    <w:rsid w:val="0088722C"/>
    <w:rsid w:val="008876B0"/>
    <w:rsid w:val="00890D60"/>
    <w:rsid w:val="00891C4B"/>
    <w:rsid w:val="008941E3"/>
    <w:rsid w:val="00894569"/>
    <w:rsid w:val="00894A88"/>
    <w:rsid w:val="00895386"/>
    <w:rsid w:val="0089633E"/>
    <w:rsid w:val="008967AB"/>
    <w:rsid w:val="008969B5"/>
    <w:rsid w:val="008A01AC"/>
    <w:rsid w:val="008A0443"/>
    <w:rsid w:val="008A0518"/>
    <w:rsid w:val="008A21FF"/>
    <w:rsid w:val="008A2CE2"/>
    <w:rsid w:val="008A30AC"/>
    <w:rsid w:val="008A44B8"/>
    <w:rsid w:val="008A51A8"/>
    <w:rsid w:val="008A54C7"/>
    <w:rsid w:val="008A5707"/>
    <w:rsid w:val="008A77D8"/>
    <w:rsid w:val="008B0483"/>
    <w:rsid w:val="008B120C"/>
    <w:rsid w:val="008B15F2"/>
    <w:rsid w:val="008B3DA1"/>
    <w:rsid w:val="008B51A0"/>
    <w:rsid w:val="008B592A"/>
    <w:rsid w:val="008B7B5C"/>
    <w:rsid w:val="008C055C"/>
    <w:rsid w:val="008C0C99"/>
    <w:rsid w:val="008C0E7D"/>
    <w:rsid w:val="008C2017"/>
    <w:rsid w:val="008C48FE"/>
    <w:rsid w:val="008C4958"/>
    <w:rsid w:val="008C4BAA"/>
    <w:rsid w:val="008C6AE8"/>
    <w:rsid w:val="008C7573"/>
    <w:rsid w:val="008D00A5"/>
    <w:rsid w:val="008D32E1"/>
    <w:rsid w:val="008D34F1"/>
    <w:rsid w:val="008D39D8"/>
    <w:rsid w:val="008D524E"/>
    <w:rsid w:val="008D56F4"/>
    <w:rsid w:val="008D6D1A"/>
    <w:rsid w:val="008E065E"/>
    <w:rsid w:val="008E0927"/>
    <w:rsid w:val="008E1909"/>
    <w:rsid w:val="008E21BD"/>
    <w:rsid w:val="008F121F"/>
    <w:rsid w:val="008F1EAB"/>
    <w:rsid w:val="008F24C1"/>
    <w:rsid w:val="008F33DC"/>
    <w:rsid w:val="008F4687"/>
    <w:rsid w:val="008F477F"/>
    <w:rsid w:val="008F5C96"/>
    <w:rsid w:val="00902350"/>
    <w:rsid w:val="0090336B"/>
    <w:rsid w:val="009053AA"/>
    <w:rsid w:val="00905E37"/>
    <w:rsid w:val="00906939"/>
    <w:rsid w:val="00910A35"/>
    <w:rsid w:val="00910B7D"/>
    <w:rsid w:val="00911267"/>
    <w:rsid w:val="00911DFB"/>
    <w:rsid w:val="009128CD"/>
    <w:rsid w:val="009139D9"/>
    <w:rsid w:val="00914AD8"/>
    <w:rsid w:val="009150C4"/>
    <w:rsid w:val="00916079"/>
    <w:rsid w:val="00917CE9"/>
    <w:rsid w:val="00920BF2"/>
    <w:rsid w:val="00922010"/>
    <w:rsid w:val="00926C93"/>
    <w:rsid w:val="00931BD9"/>
    <w:rsid w:val="00932375"/>
    <w:rsid w:val="00932F6D"/>
    <w:rsid w:val="00933D0A"/>
    <w:rsid w:val="0093433F"/>
    <w:rsid w:val="00934C31"/>
    <w:rsid w:val="009368F3"/>
    <w:rsid w:val="00940D4E"/>
    <w:rsid w:val="00941636"/>
    <w:rsid w:val="00943742"/>
    <w:rsid w:val="009456A4"/>
    <w:rsid w:val="00945C05"/>
    <w:rsid w:val="00946146"/>
    <w:rsid w:val="00946945"/>
    <w:rsid w:val="00946AE5"/>
    <w:rsid w:val="00947713"/>
    <w:rsid w:val="0095037B"/>
    <w:rsid w:val="00950DE7"/>
    <w:rsid w:val="00953635"/>
    <w:rsid w:val="00953920"/>
    <w:rsid w:val="00953D47"/>
    <w:rsid w:val="00954C33"/>
    <w:rsid w:val="0095681E"/>
    <w:rsid w:val="009572D4"/>
    <w:rsid w:val="00961921"/>
    <w:rsid w:val="0096353D"/>
    <w:rsid w:val="0096430A"/>
    <w:rsid w:val="00964A8D"/>
    <w:rsid w:val="0096554B"/>
    <w:rsid w:val="0096584A"/>
    <w:rsid w:val="009665A0"/>
    <w:rsid w:val="00966FDF"/>
    <w:rsid w:val="0097137B"/>
    <w:rsid w:val="00971F08"/>
    <w:rsid w:val="00974370"/>
    <w:rsid w:val="00975B79"/>
    <w:rsid w:val="0097603D"/>
    <w:rsid w:val="0097680B"/>
    <w:rsid w:val="00976949"/>
    <w:rsid w:val="00980332"/>
    <w:rsid w:val="00980477"/>
    <w:rsid w:val="0098139F"/>
    <w:rsid w:val="009822DE"/>
    <w:rsid w:val="009843A1"/>
    <w:rsid w:val="009847D1"/>
    <w:rsid w:val="00985253"/>
    <w:rsid w:val="009853B3"/>
    <w:rsid w:val="009859A4"/>
    <w:rsid w:val="00986A48"/>
    <w:rsid w:val="009879F3"/>
    <w:rsid w:val="00987DCE"/>
    <w:rsid w:val="00990630"/>
    <w:rsid w:val="00991761"/>
    <w:rsid w:val="009934CD"/>
    <w:rsid w:val="00994CEE"/>
    <w:rsid w:val="00994DCA"/>
    <w:rsid w:val="009960EC"/>
    <w:rsid w:val="00996501"/>
    <w:rsid w:val="009970DD"/>
    <w:rsid w:val="009A0FBA"/>
    <w:rsid w:val="009A1601"/>
    <w:rsid w:val="009A3BB6"/>
    <w:rsid w:val="009A462D"/>
    <w:rsid w:val="009A4920"/>
    <w:rsid w:val="009A5CBA"/>
    <w:rsid w:val="009A5D92"/>
    <w:rsid w:val="009A63C3"/>
    <w:rsid w:val="009A7E94"/>
    <w:rsid w:val="009B1042"/>
    <w:rsid w:val="009B1D1F"/>
    <w:rsid w:val="009B1F30"/>
    <w:rsid w:val="009B233A"/>
    <w:rsid w:val="009B3AC2"/>
    <w:rsid w:val="009B4DF4"/>
    <w:rsid w:val="009B564E"/>
    <w:rsid w:val="009B640D"/>
    <w:rsid w:val="009B6527"/>
    <w:rsid w:val="009B7E87"/>
    <w:rsid w:val="009B7F2D"/>
    <w:rsid w:val="009C0169"/>
    <w:rsid w:val="009C24F1"/>
    <w:rsid w:val="009C403E"/>
    <w:rsid w:val="009C7E88"/>
    <w:rsid w:val="009D4FF0"/>
    <w:rsid w:val="009D553F"/>
    <w:rsid w:val="009D68F4"/>
    <w:rsid w:val="009D703C"/>
    <w:rsid w:val="009D713B"/>
    <w:rsid w:val="009D718F"/>
    <w:rsid w:val="009D7C4B"/>
    <w:rsid w:val="009E068F"/>
    <w:rsid w:val="009E0CBF"/>
    <w:rsid w:val="009E1492"/>
    <w:rsid w:val="009E14E0"/>
    <w:rsid w:val="009E35DB"/>
    <w:rsid w:val="009E39D9"/>
    <w:rsid w:val="009E47A3"/>
    <w:rsid w:val="009F08F3"/>
    <w:rsid w:val="009F2AD9"/>
    <w:rsid w:val="009F344F"/>
    <w:rsid w:val="009F6DCC"/>
    <w:rsid w:val="00A02E61"/>
    <w:rsid w:val="00A02EEC"/>
    <w:rsid w:val="00A031D8"/>
    <w:rsid w:val="00A048A8"/>
    <w:rsid w:val="00A04F49"/>
    <w:rsid w:val="00A12716"/>
    <w:rsid w:val="00A13E54"/>
    <w:rsid w:val="00A14210"/>
    <w:rsid w:val="00A17631"/>
    <w:rsid w:val="00A17F63"/>
    <w:rsid w:val="00A210AA"/>
    <w:rsid w:val="00A2193B"/>
    <w:rsid w:val="00A22921"/>
    <w:rsid w:val="00A2351A"/>
    <w:rsid w:val="00A2440F"/>
    <w:rsid w:val="00A264A9"/>
    <w:rsid w:val="00A26DAA"/>
    <w:rsid w:val="00A26DCF"/>
    <w:rsid w:val="00A27785"/>
    <w:rsid w:val="00A30187"/>
    <w:rsid w:val="00A3448A"/>
    <w:rsid w:val="00A35081"/>
    <w:rsid w:val="00A3610C"/>
    <w:rsid w:val="00A36297"/>
    <w:rsid w:val="00A372FE"/>
    <w:rsid w:val="00A408CE"/>
    <w:rsid w:val="00A41E2B"/>
    <w:rsid w:val="00A44071"/>
    <w:rsid w:val="00A45282"/>
    <w:rsid w:val="00A45B74"/>
    <w:rsid w:val="00A47881"/>
    <w:rsid w:val="00A522CB"/>
    <w:rsid w:val="00A52E1D"/>
    <w:rsid w:val="00A53BF7"/>
    <w:rsid w:val="00A6097E"/>
    <w:rsid w:val="00A61499"/>
    <w:rsid w:val="00A62A77"/>
    <w:rsid w:val="00A63483"/>
    <w:rsid w:val="00A657D7"/>
    <w:rsid w:val="00A660AC"/>
    <w:rsid w:val="00A67E6C"/>
    <w:rsid w:val="00A71B99"/>
    <w:rsid w:val="00A71F78"/>
    <w:rsid w:val="00A739D0"/>
    <w:rsid w:val="00A74F39"/>
    <w:rsid w:val="00A75372"/>
    <w:rsid w:val="00A761D4"/>
    <w:rsid w:val="00A77A66"/>
    <w:rsid w:val="00A77EC4"/>
    <w:rsid w:val="00A80D59"/>
    <w:rsid w:val="00A820CC"/>
    <w:rsid w:val="00A86154"/>
    <w:rsid w:val="00A92879"/>
    <w:rsid w:val="00A9442A"/>
    <w:rsid w:val="00A96A2C"/>
    <w:rsid w:val="00A96B79"/>
    <w:rsid w:val="00AA016F"/>
    <w:rsid w:val="00AA1ED6"/>
    <w:rsid w:val="00AA3168"/>
    <w:rsid w:val="00AA3CF6"/>
    <w:rsid w:val="00AA49DE"/>
    <w:rsid w:val="00AA4C19"/>
    <w:rsid w:val="00AA51D6"/>
    <w:rsid w:val="00AA522F"/>
    <w:rsid w:val="00AA6427"/>
    <w:rsid w:val="00AA6D0B"/>
    <w:rsid w:val="00AA7276"/>
    <w:rsid w:val="00AA7ACE"/>
    <w:rsid w:val="00AB04C7"/>
    <w:rsid w:val="00AB0BC8"/>
    <w:rsid w:val="00AB0C32"/>
    <w:rsid w:val="00AB11CA"/>
    <w:rsid w:val="00AB14D9"/>
    <w:rsid w:val="00AB33A0"/>
    <w:rsid w:val="00AB4AB8"/>
    <w:rsid w:val="00AB655E"/>
    <w:rsid w:val="00AB76F7"/>
    <w:rsid w:val="00AB7B87"/>
    <w:rsid w:val="00AC007F"/>
    <w:rsid w:val="00AC0A2C"/>
    <w:rsid w:val="00AC18AC"/>
    <w:rsid w:val="00AC1CA4"/>
    <w:rsid w:val="00AC2ECD"/>
    <w:rsid w:val="00AC3119"/>
    <w:rsid w:val="00AC49FB"/>
    <w:rsid w:val="00AC52E3"/>
    <w:rsid w:val="00AC5A10"/>
    <w:rsid w:val="00AC730A"/>
    <w:rsid w:val="00AD0AA3"/>
    <w:rsid w:val="00AD1A52"/>
    <w:rsid w:val="00AD3F94"/>
    <w:rsid w:val="00AD4A5A"/>
    <w:rsid w:val="00AD5CC2"/>
    <w:rsid w:val="00AD717B"/>
    <w:rsid w:val="00AD7C29"/>
    <w:rsid w:val="00AD7E33"/>
    <w:rsid w:val="00AE27AC"/>
    <w:rsid w:val="00AE29BD"/>
    <w:rsid w:val="00AE40E0"/>
    <w:rsid w:val="00AE4795"/>
    <w:rsid w:val="00AE4DBA"/>
    <w:rsid w:val="00AE4F07"/>
    <w:rsid w:val="00AF03BD"/>
    <w:rsid w:val="00AF0F66"/>
    <w:rsid w:val="00AF1C5D"/>
    <w:rsid w:val="00AF1F8C"/>
    <w:rsid w:val="00AF316D"/>
    <w:rsid w:val="00AF4191"/>
    <w:rsid w:val="00AF42D7"/>
    <w:rsid w:val="00AF443B"/>
    <w:rsid w:val="00AF67A3"/>
    <w:rsid w:val="00B00588"/>
    <w:rsid w:val="00B00678"/>
    <w:rsid w:val="00B006FE"/>
    <w:rsid w:val="00B007CB"/>
    <w:rsid w:val="00B0099F"/>
    <w:rsid w:val="00B02AA9"/>
    <w:rsid w:val="00B02FA3"/>
    <w:rsid w:val="00B035A1"/>
    <w:rsid w:val="00B045F0"/>
    <w:rsid w:val="00B05084"/>
    <w:rsid w:val="00B05271"/>
    <w:rsid w:val="00B07169"/>
    <w:rsid w:val="00B15115"/>
    <w:rsid w:val="00B157F9"/>
    <w:rsid w:val="00B15D5D"/>
    <w:rsid w:val="00B17A64"/>
    <w:rsid w:val="00B20256"/>
    <w:rsid w:val="00B20D09"/>
    <w:rsid w:val="00B21620"/>
    <w:rsid w:val="00B22FA9"/>
    <w:rsid w:val="00B23308"/>
    <w:rsid w:val="00B25315"/>
    <w:rsid w:val="00B25854"/>
    <w:rsid w:val="00B2763F"/>
    <w:rsid w:val="00B276D9"/>
    <w:rsid w:val="00B27AAC"/>
    <w:rsid w:val="00B27B0F"/>
    <w:rsid w:val="00B300FC"/>
    <w:rsid w:val="00B3048F"/>
    <w:rsid w:val="00B30929"/>
    <w:rsid w:val="00B31344"/>
    <w:rsid w:val="00B324C3"/>
    <w:rsid w:val="00B32D23"/>
    <w:rsid w:val="00B3360C"/>
    <w:rsid w:val="00B33626"/>
    <w:rsid w:val="00B372AA"/>
    <w:rsid w:val="00B40445"/>
    <w:rsid w:val="00B409E0"/>
    <w:rsid w:val="00B41888"/>
    <w:rsid w:val="00B421EE"/>
    <w:rsid w:val="00B4387C"/>
    <w:rsid w:val="00B45410"/>
    <w:rsid w:val="00B45A52"/>
    <w:rsid w:val="00B46175"/>
    <w:rsid w:val="00B46FD3"/>
    <w:rsid w:val="00B47390"/>
    <w:rsid w:val="00B47AA0"/>
    <w:rsid w:val="00B52263"/>
    <w:rsid w:val="00B53060"/>
    <w:rsid w:val="00B548B7"/>
    <w:rsid w:val="00B60085"/>
    <w:rsid w:val="00B664C7"/>
    <w:rsid w:val="00B66A32"/>
    <w:rsid w:val="00B67111"/>
    <w:rsid w:val="00B7060C"/>
    <w:rsid w:val="00B739F6"/>
    <w:rsid w:val="00B80FA0"/>
    <w:rsid w:val="00B81A6C"/>
    <w:rsid w:val="00B826C4"/>
    <w:rsid w:val="00B833E0"/>
    <w:rsid w:val="00B85103"/>
    <w:rsid w:val="00B85388"/>
    <w:rsid w:val="00B85DE5"/>
    <w:rsid w:val="00B90ABF"/>
    <w:rsid w:val="00B90D2B"/>
    <w:rsid w:val="00B90F73"/>
    <w:rsid w:val="00B91217"/>
    <w:rsid w:val="00B914D0"/>
    <w:rsid w:val="00B93B59"/>
    <w:rsid w:val="00B9406A"/>
    <w:rsid w:val="00BA0447"/>
    <w:rsid w:val="00BA2280"/>
    <w:rsid w:val="00BA2A08"/>
    <w:rsid w:val="00BA3DF6"/>
    <w:rsid w:val="00BA56D2"/>
    <w:rsid w:val="00BA5B83"/>
    <w:rsid w:val="00BA76E0"/>
    <w:rsid w:val="00BB23EF"/>
    <w:rsid w:val="00BB2A25"/>
    <w:rsid w:val="00BB3148"/>
    <w:rsid w:val="00BB40C1"/>
    <w:rsid w:val="00BB51E9"/>
    <w:rsid w:val="00BC0FDC"/>
    <w:rsid w:val="00BC156D"/>
    <w:rsid w:val="00BC3053"/>
    <w:rsid w:val="00BC4D2E"/>
    <w:rsid w:val="00BC5C1C"/>
    <w:rsid w:val="00BC6C78"/>
    <w:rsid w:val="00BC6FA0"/>
    <w:rsid w:val="00BD389D"/>
    <w:rsid w:val="00BD4099"/>
    <w:rsid w:val="00BD48AC"/>
    <w:rsid w:val="00BD5F1A"/>
    <w:rsid w:val="00BE018E"/>
    <w:rsid w:val="00BE03FC"/>
    <w:rsid w:val="00BE08A5"/>
    <w:rsid w:val="00BE1234"/>
    <w:rsid w:val="00BE26CF"/>
    <w:rsid w:val="00BE2FA6"/>
    <w:rsid w:val="00BE333F"/>
    <w:rsid w:val="00BE3806"/>
    <w:rsid w:val="00BE52DE"/>
    <w:rsid w:val="00BE7406"/>
    <w:rsid w:val="00BE7603"/>
    <w:rsid w:val="00BF035A"/>
    <w:rsid w:val="00BF3279"/>
    <w:rsid w:val="00BF5ACD"/>
    <w:rsid w:val="00BF72F5"/>
    <w:rsid w:val="00BF74C7"/>
    <w:rsid w:val="00C015F1"/>
    <w:rsid w:val="00C01E15"/>
    <w:rsid w:val="00C01F33"/>
    <w:rsid w:val="00C02CC6"/>
    <w:rsid w:val="00C040F7"/>
    <w:rsid w:val="00C04197"/>
    <w:rsid w:val="00C044AB"/>
    <w:rsid w:val="00C04D74"/>
    <w:rsid w:val="00C05706"/>
    <w:rsid w:val="00C07377"/>
    <w:rsid w:val="00C10478"/>
    <w:rsid w:val="00C1147F"/>
    <w:rsid w:val="00C12107"/>
    <w:rsid w:val="00C13649"/>
    <w:rsid w:val="00C146C1"/>
    <w:rsid w:val="00C14D4B"/>
    <w:rsid w:val="00C154BB"/>
    <w:rsid w:val="00C17623"/>
    <w:rsid w:val="00C20445"/>
    <w:rsid w:val="00C2120E"/>
    <w:rsid w:val="00C21363"/>
    <w:rsid w:val="00C24F34"/>
    <w:rsid w:val="00C2555E"/>
    <w:rsid w:val="00C268E6"/>
    <w:rsid w:val="00C279B5"/>
    <w:rsid w:val="00C27C45"/>
    <w:rsid w:val="00C30252"/>
    <w:rsid w:val="00C327B5"/>
    <w:rsid w:val="00C35513"/>
    <w:rsid w:val="00C3719D"/>
    <w:rsid w:val="00C37A0A"/>
    <w:rsid w:val="00C37CB2"/>
    <w:rsid w:val="00C37DE7"/>
    <w:rsid w:val="00C42E00"/>
    <w:rsid w:val="00C44095"/>
    <w:rsid w:val="00C473A5"/>
    <w:rsid w:val="00C51BEE"/>
    <w:rsid w:val="00C52337"/>
    <w:rsid w:val="00C54995"/>
    <w:rsid w:val="00C54D41"/>
    <w:rsid w:val="00C57427"/>
    <w:rsid w:val="00C60532"/>
    <w:rsid w:val="00C605DA"/>
    <w:rsid w:val="00C60783"/>
    <w:rsid w:val="00C62381"/>
    <w:rsid w:val="00C6418B"/>
    <w:rsid w:val="00C64550"/>
    <w:rsid w:val="00C64672"/>
    <w:rsid w:val="00C65B46"/>
    <w:rsid w:val="00C66F9B"/>
    <w:rsid w:val="00C6704E"/>
    <w:rsid w:val="00C673A3"/>
    <w:rsid w:val="00C7011C"/>
    <w:rsid w:val="00C7014C"/>
    <w:rsid w:val="00C70697"/>
    <w:rsid w:val="00C72093"/>
    <w:rsid w:val="00C7258D"/>
    <w:rsid w:val="00C726E6"/>
    <w:rsid w:val="00C72EF4"/>
    <w:rsid w:val="00C73621"/>
    <w:rsid w:val="00C744FE"/>
    <w:rsid w:val="00C75D2F"/>
    <w:rsid w:val="00C767BE"/>
    <w:rsid w:val="00C76E3C"/>
    <w:rsid w:val="00C81568"/>
    <w:rsid w:val="00C8157C"/>
    <w:rsid w:val="00C81900"/>
    <w:rsid w:val="00C8332B"/>
    <w:rsid w:val="00C83B81"/>
    <w:rsid w:val="00C83B8A"/>
    <w:rsid w:val="00C84F6B"/>
    <w:rsid w:val="00C85AC0"/>
    <w:rsid w:val="00C85B38"/>
    <w:rsid w:val="00C8720A"/>
    <w:rsid w:val="00C8733F"/>
    <w:rsid w:val="00C9027A"/>
    <w:rsid w:val="00C9068E"/>
    <w:rsid w:val="00C9236D"/>
    <w:rsid w:val="00C931D0"/>
    <w:rsid w:val="00C93814"/>
    <w:rsid w:val="00C93C4B"/>
    <w:rsid w:val="00C944AB"/>
    <w:rsid w:val="00C95B40"/>
    <w:rsid w:val="00CA005E"/>
    <w:rsid w:val="00CA0D1F"/>
    <w:rsid w:val="00CA1ED8"/>
    <w:rsid w:val="00CA3866"/>
    <w:rsid w:val="00CA5D4C"/>
    <w:rsid w:val="00CB0854"/>
    <w:rsid w:val="00CB0A1C"/>
    <w:rsid w:val="00CB0B37"/>
    <w:rsid w:val="00CB1F63"/>
    <w:rsid w:val="00CB54F4"/>
    <w:rsid w:val="00CB62DB"/>
    <w:rsid w:val="00CB7170"/>
    <w:rsid w:val="00CB730F"/>
    <w:rsid w:val="00CC040E"/>
    <w:rsid w:val="00CC111F"/>
    <w:rsid w:val="00CC2011"/>
    <w:rsid w:val="00CC2AA6"/>
    <w:rsid w:val="00CC3EA0"/>
    <w:rsid w:val="00CC590E"/>
    <w:rsid w:val="00CC646F"/>
    <w:rsid w:val="00CC7B45"/>
    <w:rsid w:val="00CD0B59"/>
    <w:rsid w:val="00CD1188"/>
    <w:rsid w:val="00CD2C5A"/>
    <w:rsid w:val="00CD2ED1"/>
    <w:rsid w:val="00CD337B"/>
    <w:rsid w:val="00CD3B56"/>
    <w:rsid w:val="00CD7C0C"/>
    <w:rsid w:val="00CE0263"/>
    <w:rsid w:val="00CE0424"/>
    <w:rsid w:val="00CE41E4"/>
    <w:rsid w:val="00CE7561"/>
    <w:rsid w:val="00CF1354"/>
    <w:rsid w:val="00CF1B46"/>
    <w:rsid w:val="00CF3B1F"/>
    <w:rsid w:val="00CF3BF6"/>
    <w:rsid w:val="00CF5CF2"/>
    <w:rsid w:val="00CF625B"/>
    <w:rsid w:val="00CF687E"/>
    <w:rsid w:val="00CF7BBA"/>
    <w:rsid w:val="00D001E2"/>
    <w:rsid w:val="00D0349B"/>
    <w:rsid w:val="00D05582"/>
    <w:rsid w:val="00D056D3"/>
    <w:rsid w:val="00D077C2"/>
    <w:rsid w:val="00D10249"/>
    <w:rsid w:val="00D115C3"/>
    <w:rsid w:val="00D11897"/>
    <w:rsid w:val="00D125C6"/>
    <w:rsid w:val="00D13135"/>
    <w:rsid w:val="00D13E4E"/>
    <w:rsid w:val="00D20F61"/>
    <w:rsid w:val="00D21278"/>
    <w:rsid w:val="00D21577"/>
    <w:rsid w:val="00D239A7"/>
    <w:rsid w:val="00D23F47"/>
    <w:rsid w:val="00D2584A"/>
    <w:rsid w:val="00D324EC"/>
    <w:rsid w:val="00D32CEE"/>
    <w:rsid w:val="00D330E3"/>
    <w:rsid w:val="00D33708"/>
    <w:rsid w:val="00D34501"/>
    <w:rsid w:val="00D36E71"/>
    <w:rsid w:val="00D36E8C"/>
    <w:rsid w:val="00D37D87"/>
    <w:rsid w:val="00D40989"/>
    <w:rsid w:val="00D40B33"/>
    <w:rsid w:val="00D417B0"/>
    <w:rsid w:val="00D42B45"/>
    <w:rsid w:val="00D4318F"/>
    <w:rsid w:val="00D438BF"/>
    <w:rsid w:val="00D440F8"/>
    <w:rsid w:val="00D4560F"/>
    <w:rsid w:val="00D465B3"/>
    <w:rsid w:val="00D518B8"/>
    <w:rsid w:val="00D546FF"/>
    <w:rsid w:val="00D55AD5"/>
    <w:rsid w:val="00D56BF5"/>
    <w:rsid w:val="00D576CA"/>
    <w:rsid w:val="00D61AF5"/>
    <w:rsid w:val="00D6295C"/>
    <w:rsid w:val="00D652B5"/>
    <w:rsid w:val="00D66155"/>
    <w:rsid w:val="00D67C79"/>
    <w:rsid w:val="00D70078"/>
    <w:rsid w:val="00D708B0"/>
    <w:rsid w:val="00D729D6"/>
    <w:rsid w:val="00D74102"/>
    <w:rsid w:val="00D77306"/>
    <w:rsid w:val="00D77B1D"/>
    <w:rsid w:val="00D8021F"/>
    <w:rsid w:val="00D80383"/>
    <w:rsid w:val="00D80B57"/>
    <w:rsid w:val="00D823C6"/>
    <w:rsid w:val="00D8327F"/>
    <w:rsid w:val="00D851DC"/>
    <w:rsid w:val="00D856F3"/>
    <w:rsid w:val="00D862FC"/>
    <w:rsid w:val="00D86B4D"/>
    <w:rsid w:val="00D86CA3"/>
    <w:rsid w:val="00D871CE"/>
    <w:rsid w:val="00D87E6E"/>
    <w:rsid w:val="00D9196D"/>
    <w:rsid w:val="00D92067"/>
    <w:rsid w:val="00D92982"/>
    <w:rsid w:val="00D93F82"/>
    <w:rsid w:val="00D9469A"/>
    <w:rsid w:val="00D9625B"/>
    <w:rsid w:val="00D96909"/>
    <w:rsid w:val="00DA187A"/>
    <w:rsid w:val="00DA18FF"/>
    <w:rsid w:val="00DA305E"/>
    <w:rsid w:val="00DA387C"/>
    <w:rsid w:val="00DA5417"/>
    <w:rsid w:val="00DA56E8"/>
    <w:rsid w:val="00DA5E58"/>
    <w:rsid w:val="00DB0054"/>
    <w:rsid w:val="00DB0A9F"/>
    <w:rsid w:val="00DB18F4"/>
    <w:rsid w:val="00DB1C49"/>
    <w:rsid w:val="00DB377D"/>
    <w:rsid w:val="00DB3B08"/>
    <w:rsid w:val="00DB409E"/>
    <w:rsid w:val="00DB6774"/>
    <w:rsid w:val="00DB6D30"/>
    <w:rsid w:val="00DB73CE"/>
    <w:rsid w:val="00DC0AD8"/>
    <w:rsid w:val="00DC2D36"/>
    <w:rsid w:val="00DC4951"/>
    <w:rsid w:val="00DC53EF"/>
    <w:rsid w:val="00DD5E8F"/>
    <w:rsid w:val="00DD7BDD"/>
    <w:rsid w:val="00DE0463"/>
    <w:rsid w:val="00DE1551"/>
    <w:rsid w:val="00DE5418"/>
    <w:rsid w:val="00DE5608"/>
    <w:rsid w:val="00DE58D0"/>
    <w:rsid w:val="00DE654F"/>
    <w:rsid w:val="00DE72D3"/>
    <w:rsid w:val="00DF0B6E"/>
    <w:rsid w:val="00DF15E0"/>
    <w:rsid w:val="00DF3274"/>
    <w:rsid w:val="00DF376C"/>
    <w:rsid w:val="00DF37A0"/>
    <w:rsid w:val="00DF6BA3"/>
    <w:rsid w:val="00DF7DEE"/>
    <w:rsid w:val="00DF7E3D"/>
    <w:rsid w:val="00E04C11"/>
    <w:rsid w:val="00E04F3D"/>
    <w:rsid w:val="00E04F4C"/>
    <w:rsid w:val="00E110E7"/>
    <w:rsid w:val="00E11B20"/>
    <w:rsid w:val="00E12E9D"/>
    <w:rsid w:val="00E14120"/>
    <w:rsid w:val="00E1449A"/>
    <w:rsid w:val="00E16DE0"/>
    <w:rsid w:val="00E16FE8"/>
    <w:rsid w:val="00E17587"/>
    <w:rsid w:val="00E17FA2"/>
    <w:rsid w:val="00E22330"/>
    <w:rsid w:val="00E224F8"/>
    <w:rsid w:val="00E27F11"/>
    <w:rsid w:val="00E30B5A"/>
    <w:rsid w:val="00E3123D"/>
    <w:rsid w:val="00E31461"/>
    <w:rsid w:val="00E31D43"/>
    <w:rsid w:val="00E31E94"/>
    <w:rsid w:val="00E32608"/>
    <w:rsid w:val="00E34188"/>
    <w:rsid w:val="00E34B6E"/>
    <w:rsid w:val="00E35559"/>
    <w:rsid w:val="00E3723A"/>
    <w:rsid w:val="00E37860"/>
    <w:rsid w:val="00E41219"/>
    <w:rsid w:val="00E446F1"/>
    <w:rsid w:val="00E451AC"/>
    <w:rsid w:val="00E46886"/>
    <w:rsid w:val="00E46C70"/>
    <w:rsid w:val="00E47AEF"/>
    <w:rsid w:val="00E51950"/>
    <w:rsid w:val="00E53328"/>
    <w:rsid w:val="00E53B75"/>
    <w:rsid w:val="00E540BB"/>
    <w:rsid w:val="00E54CBB"/>
    <w:rsid w:val="00E54E3B"/>
    <w:rsid w:val="00E55CCA"/>
    <w:rsid w:val="00E5637E"/>
    <w:rsid w:val="00E57565"/>
    <w:rsid w:val="00E60458"/>
    <w:rsid w:val="00E63838"/>
    <w:rsid w:val="00E64434"/>
    <w:rsid w:val="00E6456B"/>
    <w:rsid w:val="00E6718A"/>
    <w:rsid w:val="00E678BD"/>
    <w:rsid w:val="00E67C51"/>
    <w:rsid w:val="00E72EFC"/>
    <w:rsid w:val="00E7542F"/>
    <w:rsid w:val="00E758EC"/>
    <w:rsid w:val="00E75B11"/>
    <w:rsid w:val="00E7649E"/>
    <w:rsid w:val="00E77214"/>
    <w:rsid w:val="00E81123"/>
    <w:rsid w:val="00E81925"/>
    <w:rsid w:val="00E8234C"/>
    <w:rsid w:val="00E83722"/>
    <w:rsid w:val="00E83AA9"/>
    <w:rsid w:val="00E83D55"/>
    <w:rsid w:val="00E85928"/>
    <w:rsid w:val="00E87822"/>
    <w:rsid w:val="00E90395"/>
    <w:rsid w:val="00E90E49"/>
    <w:rsid w:val="00E917F9"/>
    <w:rsid w:val="00E9291C"/>
    <w:rsid w:val="00E93FFE"/>
    <w:rsid w:val="00E94CD0"/>
    <w:rsid w:val="00E94F8A"/>
    <w:rsid w:val="00E97497"/>
    <w:rsid w:val="00E97523"/>
    <w:rsid w:val="00EA1260"/>
    <w:rsid w:val="00EA2C1E"/>
    <w:rsid w:val="00EA42B9"/>
    <w:rsid w:val="00EA5A5F"/>
    <w:rsid w:val="00EA7A41"/>
    <w:rsid w:val="00EB00EA"/>
    <w:rsid w:val="00EB077B"/>
    <w:rsid w:val="00EB431A"/>
    <w:rsid w:val="00EB445A"/>
    <w:rsid w:val="00EB4570"/>
    <w:rsid w:val="00EB4622"/>
    <w:rsid w:val="00EB4EA2"/>
    <w:rsid w:val="00EB5856"/>
    <w:rsid w:val="00EB63C1"/>
    <w:rsid w:val="00EB64EC"/>
    <w:rsid w:val="00EB6A96"/>
    <w:rsid w:val="00EC1A1F"/>
    <w:rsid w:val="00EC24D5"/>
    <w:rsid w:val="00EC27C6"/>
    <w:rsid w:val="00EC39FD"/>
    <w:rsid w:val="00EC4207"/>
    <w:rsid w:val="00EC4410"/>
    <w:rsid w:val="00EC4D6B"/>
    <w:rsid w:val="00EC5653"/>
    <w:rsid w:val="00EC71CE"/>
    <w:rsid w:val="00EC7E34"/>
    <w:rsid w:val="00ED1006"/>
    <w:rsid w:val="00ED2818"/>
    <w:rsid w:val="00ED286A"/>
    <w:rsid w:val="00ED478D"/>
    <w:rsid w:val="00EE1A7A"/>
    <w:rsid w:val="00EE3F42"/>
    <w:rsid w:val="00EE4993"/>
    <w:rsid w:val="00EE4BC7"/>
    <w:rsid w:val="00EF059F"/>
    <w:rsid w:val="00EF1162"/>
    <w:rsid w:val="00EF18FE"/>
    <w:rsid w:val="00EF197F"/>
    <w:rsid w:val="00EF1A07"/>
    <w:rsid w:val="00EF4111"/>
    <w:rsid w:val="00EF506F"/>
    <w:rsid w:val="00EF5787"/>
    <w:rsid w:val="00EF60D0"/>
    <w:rsid w:val="00F011B0"/>
    <w:rsid w:val="00F032EE"/>
    <w:rsid w:val="00F0482B"/>
    <w:rsid w:val="00F0528D"/>
    <w:rsid w:val="00F054B2"/>
    <w:rsid w:val="00F06597"/>
    <w:rsid w:val="00F06C67"/>
    <w:rsid w:val="00F06D69"/>
    <w:rsid w:val="00F06DFD"/>
    <w:rsid w:val="00F071D1"/>
    <w:rsid w:val="00F07533"/>
    <w:rsid w:val="00F10629"/>
    <w:rsid w:val="00F1103A"/>
    <w:rsid w:val="00F11414"/>
    <w:rsid w:val="00F15FA5"/>
    <w:rsid w:val="00F20843"/>
    <w:rsid w:val="00F209B7"/>
    <w:rsid w:val="00F20F5C"/>
    <w:rsid w:val="00F217BB"/>
    <w:rsid w:val="00F232B9"/>
    <w:rsid w:val="00F2376F"/>
    <w:rsid w:val="00F2388C"/>
    <w:rsid w:val="00F243D8"/>
    <w:rsid w:val="00F27196"/>
    <w:rsid w:val="00F30609"/>
    <w:rsid w:val="00F30828"/>
    <w:rsid w:val="00F313D6"/>
    <w:rsid w:val="00F31ADA"/>
    <w:rsid w:val="00F3477B"/>
    <w:rsid w:val="00F35703"/>
    <w:rsid w:val="00F40F0C"/>
    <w:rsid w:val="00F413E9"/>
    <w:rsid w:val="00F434AA"/>
    <w:rsid w:val="00F4467B"/>
    <w:rsid w:val="00F448D9"/>
    <w:rsid w:val="00F45B9E"/>
    <w:rsid w:val="00F462A7"/>
    <w:rsid w:val="00F4766C"/>
    <w:rsid w:val="00F5060E"/>
    <w:rsid w:val="00F507D1"/>
    <w:rsid w:val="00F50817"/>
    <w:rsid w:val="00F519CE"/>
    <w:rsid w:val="00F51ADA"/>
    <w:rsid w:val="00F53005"/>
    <w:rsid w:val="00F5324E"/>
    <w:rsid w:val="00F5637E"/>
    <w:rsid w:val="00F56903"/>
    <w:rsid w:val="00F56EDB"/>
    <w:rsid w:val="00F60203"/>
    <w:rsid w:val="00F607C5"/>
    <w:rsid w:val="00F60DEA"/>
    <w:rsid w:val="00F62048"/>
    <w:rsid w:val="00F6302A"/>
    <w:rsid w:val="00F63950"/>
    <w:rsid w:val="00F64C2B"/>
    <w:rsid w:val="00F651BE"/>
    <w:rsid w:val="00F67F53"/>
    <w:rsid w:val="00F703BE"/>
    <w:rsid w:val="00F70BCA"/>
    <w:rsid w:val="00F71F69"/>
    <w:rsid w:val="00F72B72"/>
    <w:rsid w:val="00F72D2A"/>
    <w:rsid w:val="00F7462B"/>
    <w:rsid w:val="00F74BB9"/>
    <w:rsid w:val="00F75582"/>
    <w:rsid w:val="00F75AF3"/>
    <w:rsid w:val="00F76EFA"/>
    <w:rsid w:val="00F804BE"/>
    <w:rsid w:val="00F80A5D"/>
    <w:rsid w:val="00F817CE"/>
    <w:rsid w:val="00F82E6A"/>
    <w:rsid w:val="00F83C82"/>
    <w:rsid w:val="00F8456C"/>
    <w:rsid w:val="00F84609"/>
    <w:rsid w:val="00F85991"/>
    <w:rsid w:val="00F859D8"/>
    <w:rsid w:val="00F868F5"/>
    <w:rsid w:val="00F902DE"/>
    <w:rsid w:val="00F9044E"/>
    <w:rsid w:val="00F9056A"/>
    <w:rsid w:val="00F90F8D"/>
    <w:rsid w:val="00F918AB"/>
    <w:rsid w:val="00F92782"/>
    <w:rsid w:val="00F92E87"/>
    <w:rsid w:val="00F93AA9"/>
    <w:rsid w:val="00F94676"/>
    <w:rsid w:val="00F94F28"/>
    <w:rsid w:val="00F954A8"/>
    <w:rsid w:val="00F95EA8"/>
    <w:rsid w:val="00F9686F"/>
    <w:rsid w:val="00F96985"/>
    <w:rsid w:val="00F96E4D"/>
    <w:rsid w:val="00F97838"/>
    <w:rsid w:val="00FA0F2A"/>
    <w:rsid w:val="00FA10EB"/>
    <w:rsid w:val="00FA1248"/>
    <w:rsid w:val="00FA22F9"/>
    <w:rsid w:val="00FA2BB3"/>
    <w:rsid w:val="00FA3B5D"/>
    <w:rsid w:val="00FA60AD"/>
    <w:rsid w:val="00FB1799"/>
    <w:rsid w:val="00FB179D"/>
    <w:rsid w:val="00FB38A5"/>
    <w:rsid w:val="00FB4C80"/>
    <w:rsid w:val="00FB50E4"/>
    <w:rsid w:val="00FB6A6A"/>
    <w:rsid w:val="00FB7183"/>
    <w:rsid w:val="00FC2FC0"/>
    <w:rsid w:val="00FC7429"/>
    <w:rsid w:val="00FC7D0F"/>
    <w:rsid w:val="00FD0401"/>
    <w:rsid w:val="00FD07F6"/>
    <w:rsid w:val="00FD18F5"/>
    <w:rsid w:val="00FD1EC8"/>
    <w:rsid w:val="00FD47ED"/>
    <w:rsid w:val="00FD5180"/>
    <w:rsid w:val="00FD74DB"/>
    <w:rsid w:val="00FD7660"/>
    <w:rsid w:val="00FE0655"/>
    <w:rsid w:val="00FE1061"/>
    <w:rsid w:val="00FE2365"/>
    <w:rsid w:val="00FE32CB"/>
    <w:rsid w:val="00FE37D7"/>
    <w:rsid w:val="00FE4C7B"/>
    <w:rsid w:val="00FE557C"/>
    <w:rsid w:val="00FE5633"/>
    <w:rsid w:val="00FE63BF"/>
    <w:rsid w:val="00FE7336"/>
    <w:rsid w:val="00FE787C"/>
    <w:rsid w:val="00FF14A4"/>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41D"/>
    <w:rPr>
      <w:rFonts w:ascii="Times New Roman" w:hAnsi="Times New Roman"/>
      <w:sz w:val="24"/>
      <w:szCs w:val="24"/>
      <w:lang w:val="sv-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sz w:val="20"/>
      <w:szCs w:val="20"/>
      <w:lang w:val="en-GB"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3"/>
      </w:numPr>
      <w:tabs>
        <w:tab w:val="num" w:pos="3554"/>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sz w:val="20"/>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53"/>
      </w:numPr>
      <w:spacing w:before="6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1100221171">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553392303">
          <w:marLeft w:val="274"/>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EF8F185B-DED9-4F42-BA89-1A30C5D727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34</TotalTime>
  <Pages>4</Pages>
  <Words>1875</Words>
  <Characters>9940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11792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21</cp:revision>
  <cp:lastPrinted>2008-01-31T07:09:00Z</cp:lastPrinted>
  <dcterms:created xsi:type="dcterms:W3CDTF">2022-01-11T09:56:00Z</dcterms:created>
  <dcterms:modified xsi:type="dcterms:W3CDTF">2022-01-11T11:37:00Z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